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FA4914" w:rsidTr="00FA4914">
        <w:trPr>
          <w:trHeight w:val="360"/>
          <w:jc w:val="center"/>
        </w:trPr>
        <w:tc>
          <w:tcPr>
            <w:tcW w:w="9365" w:type="dxa"/>
            <w:hideMark/>
          </w:tcPr>
          <w:p w:rsidR="00FA4914" w:rsidRPr="004A7FD2" w:rsidRDefault="004A7FD2" w:rsidP="00F45DA5">
            <w:pPr>
              <w:suppressLineNumbers/>
              <w:spacing w:after="120"/>
              <w:ind w:left="319"/>
              <w:rPr>
                <w:b/>
                <w:bCs/>
                <w:sz w:val="26"/>
                <w:szCs w:val="26"/>
              </w:rPr>
            </w:pPr>
            <w:r w:rsidRPr="004A7FD2">
              <w:rPr>
                <w:rFonts w:hint="cs"/>
                <w:b/>
                <w:bCs/>
                <w:sz w:val="26"/>
                <w:szCs w:val="26"/>
                <w:rtl/>
              </w:rPr>
              <w:t>לפני הרכב כבוד השופטים:</w:t>
            </w:r>
          </w:p>
          <w:p w:rsidR="00FA4914" w:rsidRPr="004A7FD2" w:rsidRDefault="004A7FD2" w:rsidP="00F45DA5">
            <w:pPr>
              <w:suppressLineNumbers/>
              <w:spacing w:after="120"/>
              <w:ind w:left="319"/>
              <w:rPr>
                <w:b/>
                <w:bCs/>
                <w:sz w:val="26"/>
                <w:szCs w:val="26"/>
                <w:rtl/>
              </w:rPr>
            </w:pPr>
            <w:r w:rsidRPr="004A7FD2">
              <w:rPr>
                <w:rFonts w:hint="cs"/>
                <w:b/>
                <w:bCs/>
                <w:sz w:val="26"/>
                <w:szCs w:val="26"/>
                <w:rtl/>
              </w:rPr>
              <w:t>חננאל שרעבי [אב"ד]</w:t>
            </w:r>
          </w:p>
          <w:p w:rsidR="00FA4914" w:rsidRPr="004A7FD2" w:rsidRDefault="004A7FD2" w:rsidP="00F45DA5">
            <w:pPr>
              <w:suppressLineNumbers/>
              <w:spacing w:after="120"/>
              <w:ind w:left="319"/>
              <w:rPr>
                <w:b/>
                <w:bCs/>
                <w:sz w:val="26"/>
                <w:szCs w:val="26"/>
                <w:rtl/>
              </w:rPr>
            </w:pPr>
            <w:r w:rsidRPr="004A7FD2">
              <w:rPr>
                <w:rFonts w:hint="cs"/>
                <w:b/>
                <w:bCs/>
                <w:sz w:val="26"/>
                <w:szCs w:val="26"/>
                <w:rtl/>
              </w:rPr>
              <w:t>אספרנצה אלון</w:t>
            </w:r>
          </w:p>
          <w:p w:rsidR="00FA4914" w:rsidRDefault="004A7FD2" w:rsidP="00F45DA5">
            <w:pPr>
              <w:suppressLineNumbers/>
              <w:spacing w:after="120"/>
              <w:ind w:left="319"/>
              <w:rPr>
                <w:b/>
                <w:bCs/>
                <w:rtl/>
              </w:rPr>
            </w:pPr>
            <w:r w:rsidRPr="004A7FD2">
              <w:rPr>
                <w:rFonts w:hint="cs"/>
                <w:b/>
                <w:bCs/>
                <w:sz w:val="26"/>
                <w:szCs w:val="26"/>
                <w:rtl/>
              </w:rPr>
              <w:t xml:space="preserve">אריה </w:t>
            </w:r>
            <w:sdt>
              <w:sdtPr>
                <w:rPr>
                  <w:rFonts w:hint="cs"/>
                  <w:sz w:val="26"/>
                  <w:szCs w:val="26"/>
                  <w:rtl/>
                </w:rPr>
                <w:alias w:val="165"/>
                <w:tag w:val="165"/>
                <w:id w:val="584732177"/>
                <w:text w:multiLine="1"/>
              </w:sdtPr>
              <w:sdtEndPr/>
              <w:sdtContent>
                <w:r w:rsidRPr="004A7FD2">
                  <w:rPr>
                    <w:rFonts w:hint="cs"/>
                    <w:b/>
                    <w:bCs/>
                    <w:sz w:val="26"/>
                    <w:szCs w:val="26"/>
                    <w:rtl/>
                  </w:rPr>
                  <w:t>נאמן</w:t>
                </w:r>
                <w:r w:rsidR="00F45DA5" w:rsidRPr="004A7FD2">
                  <w:rPr>
                    <w:b/>
                    <w:bCs/>
                    <w:sz w:val="26"/>
                    <w:szCs w:val="26"/>
                    <w:rtl/>
                  </w:rPr>
                  <w:br/>
                </w:r>
              </w:sdtContent>
            </w:sdt>
          </w:p>
        </w:tc>
      </w:tr>
    </w:tbl>
    <w:tbl>
      <w:tblPr>
        <w:tblStyle w:val="a9"/>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4"/>
        <w:gridCol w:w="3212"/>
        <w:gridCol w:w="5608"/>
        <w:gridCol w:w="126"/>
      </w:tblGrid>
      <w:tr w:rsidR="00FA4914" w:rsidTr="00F45DA5">
        <w:tc>
          <w:tcPr>
            <w:tcW w:w="3246" w:type="dxa"/>
            <w:gridSpan w:val="2"/>
          </w:tcPr>
          <w:p w:rsidR="00FA4914" w:rsidRDefault="0006105E">
            <w:pPr>
              <w:suppressLineNumbers/>
              <w:rPr>
                <w:rFonts w:ascii="David" w:eastAsia="David" w:hAnsi="David"/>
                <w:b/>
                <w:bCs/>
              </w:rPr>
            </w:pPr>
          </w:p>
          <w:p w:rsidR="00FA4914" w:rsidRDefault="004A7FD2">
            <w:pPr>
              <w:suppressLineNumbers/>
              <w:rPr>
                <w:rFonts w:ascii="David" w:eastAsia="David" w:hAnsi="David"/>
                <w:b/>
                <w:bCs/>
                <w:rtl/>
              </w:rPr>
            </w:pPr>
            <w:r w:rsidRPr="004A7FD2">
              <w:rPr>
                <w:rFonts w:ascii="David" w:eastAsia="David" w:hAnsi="David" w:hint="cs"/>
                <w:b/>
                <w:bCs/>
                <w:sz w:val="26"/>
                <w:szCs w:val="26"/>
                <w:rtl/>
              </w:rPr>
              <w:t>ה</w:t>
            </w:r>
            <w:sdt>
              <w:sdtPr>
                <w:rPr>
                  <w:b/>
                  <w:bCs/>
                  <w:sz w:val="26"/>
                  <w:szCs w:val="26"/>
                  <w:rtl/>
                </w:rPr>
                <w:alias w:val="1264"/>
                <w:tag w:val="1264"/>
                <w:id w:val="748628538"/>
                <w:placeholder>
                  <w:docPart w:val="AC3404C9A680436D903318FC27F782D6"/>
                </w:placeholder>
                <w:text w:multiLine="1"/>
              </w:sdtPr>
              <w:sdtEndPr/>
              <w:sdtContent>
                <w:r w:rsidRPr="004A7FD2">
                  <w:rPr>
                    <w:rFonts w:ascii="David" w:eastAsia="David" w:hAnsi="David"/>
                    <w:b/>
                    <w:bCs/>
                    <w:sz w:val="26"/>
                    <w:szCs w:val="26"/>
                    <w:rtl/>
                  </w:rPr>
                  <w:t>מערער</w:t>
                </w:r>
              </w:sdtContent>
            </w:sdt>
          </w:p>
        </w:tc>
        <w:tc>
          <w:tcPr>
            <w:tcW w:w="5734" w:type="dxa"/>
            <w:gridSpan w:val="2"/>
          </w:tcPr>
          <w:p w:rsidR="00FA4914" w:rsidRDefault="0006105E">
            <w:pPr>
              <w:suppressLineNumbers/>
              <w:rPr>
                <w:b/>
                <w:bCs/>
                <w:rtl/>
              </w:rPr>
            </w:pPr>
          </w:p>
          <w:p w:rsidR="00FA4914" w:rsidRPr="004A7FD2" w:rsidRDefault="004A7FD2" w:rsidP="00EB7309">
            <w:pPr>
              <w:suppressLineNumbers/>
              <w:spacing w:line="360" w:lineRule="auto"/>
              <w:rPr>
                <w:sz w:val="26"/>
                <w:szCs w:val="26"/>
              </w:rPr>
            </w:pPr>
            <w:r>
              <w:rPr>
                <w:rFonts w:ascii="David" w:eastAsia="David" w:hAnsi="David" w:hint="cs"/>
                <w:b/>
                <w:bCs/>
                <w:rtl/>
              </w:rPr>
              <w:t xml:space="preserve"> </w:t>
            </w:r>
            <w:sdt>
              <w:sdtPr>
                <w:rPr>
                  <w:b/>
                  <w:bCs/>
                  <w:sz w:val="26"/>
                  <w:szCs w:val="26"/>
                  <w:rtl/>
                </w:rPr>
                <w:alias w:val="825"/>
                <w:tag w:val="825"/>
                <w:id w:val="-1404140937"/>
                <w:placeholder>
                  <w:docPart w:val="ECEBEAEEF94C46B483ABAAA854FBFE16"/>
                </w:placeholder>
                <w:text w:multiLine="1"/>
              </w:sdtPr>
              <w:sdtEndPr/>
              <w:sdtContent>
                <w:r w:rsidR="00EB7309">
                  <w:rPr>
                    <w:rFonts w:ascii="David" w:eastAsia="David" w:hAnsi="David"/>
                    <w:b/>
                    <w:bCs/>
                    <w:sz w:val="26"/>
                    <w:szCs w:val="26"/>
                    <w:rtl/>
                  </w:rPr>
                  <w:t>ע</w:t>
                </w:r>
                <w:r w:rsidR="00EB7309">
                  <w:rPr>
                    <w:rFonts w:ascii="David" w:eastAsia="David" w:hAnsi="David" w:hint="cs"/>
                    <w:b/>
                    <w:bCs/>
                    <w:sz w:val="26"/>
                    <w:szCs w:val="26"/>
                    <w:rtl/>
                  </w:rPr>
                  <w:t>. מ</w:t>
                </w:r>
              </w:sdtContent>
            </w:sdt>
            <w:r w:rsidRPr="004A7FD2">
              <w:rPr>
                <w:rFonts w:hint="cs"/>
                <w:b/>
                <w:bCs/>
                <w:sz w:val="26"/>
                <w:szCs w:val="26"/>
                <w:rtl/>
              </w:rPr>
              <w:t xml:space="preserve">  </w:t>
            </w:r>
            <w:sdt>
              <w:sdtPr>
                <w:rPr>
                  <w:b/>
                  <w:bCs/>
                  <w:sz w:val="26"/>
                  <w:szCs w:val="26"/>
                  <w:rtl/>
                </w:rPr>
                <w:alias w:val="2688"/>
                <w:tag w:val="2688"/>
                <w:id w:val="-1957249425"/>
                <w:placeholder>
                  <w:docPart w:val="51008D758E27413EA910E53B3DE9E510"/>
                </w:placeholder>
                <w:text w:multiLine="1"/>
              </w:sdtPr>
              <w:sdtEndPr/>
              <w:sdtContent>
                <w:r>
                  <w:rPr>
                    <w:b/>
                    <w:bCs/>
                    <w:sz w:val="26"/>
                    <w:szCs w:val="26"/>
                    <w:rtl/>
                  </w:rPr>
                  <w:br/>
                </w:r>
              </w:sdtContent>
            </w:sdt>
            <w:r>
              <w:rPr>
                <w:rFonts w:hint="cs"/>
                <w:b/>
                <w:bCs/>
                <w:sz w:val="26"/>
                <w:szCs w:val="26"/>
                <w:rtl/>
              </w:rPr>
              <w:t xml:space="preserve"> ע"י ב"כ עוה"ד עמוס צדיקה</w:t>
            </w:r>
            <w:r w:rsidR="001921A7">
              <w:rPr>
                <w:rFonts w:hint="cs"/>
                <w:sz w:val="26"/>
                <w:szCs w:val="26"/>
                <w:rtl/>
              </w:rPr>
              <w:t xml:space="preserve"> </w:t>
            </w:r>
            <w:r w:rsidR="001921A7" w:rsidRPr="001921A7">
              <w:rPr>
                <w:rFonts w:hint="cs"/>
                <w:b/>
                <w:bCs/>
                <w:sz w:val="26"/>
                <w:szCs w:val="26"/>
                <w:rtl/>
              </w:rPr>
              <w:t>ועוה"ד ניר שם טוב</w:t>
            </w:r>
          </w:p>
        </w:tc>
      </w:tr>
      <w:tr w:rsidR="00FA4914" w:rsidTr="00F45DA5">
        <w:tc>
          <w:tcPr>
            <w:tcW w:w="8980" w:type="dxa"/>
            <w:gridSpan w:val="4"/>
          </w:tcPr>
          <w:p w:rsidR="00FA4914" w:rsidRDefault="0006105E">
            <w:pPr>
              <w:suppressLineNumbers/>
              <w:rPr>
                <w:rFonts w:ascii="David" w:eastAsia="David" w:hAnsi="David"/>
                <w:b/>
                <w:bCs/>
                <w:rtl/>
              </w:rPr>
            </w:pPr>
          </w:p>
          <w:p w:rsidR="00FA4914" w:rsidRPr="004A7FD2" w:rsidRDefault="004A7FD2" w:rsidP="00F45DA5">
            <w:pPr>
              <w:suppressLineNumbers/>
              <w:spacing w:after="120"/>
              <w:jc w:val="center"/>
              <w:rPr>
                <w:rFonts w:ascii="David" w:eastAsia="David" w:hAnsi="David"/>
                <w:b/>
                <w:bCs/>
                <w:sz w:val="26"/>
                <w:szCs w:val="26"/>
                <w:rtl/>
              </w:rPr>
            </w:pPr>
            <w:r w:rsidRPr="004A7FD2">
              <w:rPr>
                <w:rFonts w:ascii="David" w:eastAsia="David" w:hAnsi="David" w:hint="cs"/>
                <w:b/>
                <w:bCs/>
                <w:sz w:val="26"/>
                <w:szCs w:val="26"/>
                <w:rtl/>
              </w:rPr>
              <w:t>נגד</w:t>
            </w:r>
          </w:p>
          <w:p w:rsidR="00FA4914" w:rsidRDefault="0006105E">
            <w:pPr>
              <w:suppressLineNumbers/>
              <w:rPr>
                <w:rFonts w:ascii="David" w:eastAsia="David" w:hAnsi="David"/>
                <w:b/>
                <w:bCs/>
                <w:rtl/>
              </w:rPr>
            </w:pPr>
          </w:p>
        </w:tc>
      </w:tr>
      <w:tr w:rsidR="00FA4914" w:rsidTr="00F45DA5">
        <w:trPr>
          <w:trHeight w:val="740"/>
        </w:trPr>
        <w:tc>
          <w:tcPr>
            <w:tcW w:w="3246" w:type="dxa"/>
            <w:gridSpan w:val="2"/>
            <w:hideMark/>
          </w:tcPr>
          <w:p w:rsidR="00FA4914" w:rsidRPr="004A7FD2" w:rsidRDefault="004A7FD2">
            <w:pPr>
              <w:suppressLineNumbers/>
              <w:rPr>
                <w:rFonts w:ascii="David" w:eastAsia="David" w:hAnsi="David"/>
                <w:b/>
                <w:bCs/>
                <w:sz w:val="26"/>
                <w:szCs w:val="26"/>
                <w:rtl/>
              </w:rPr>
            </w:pPr>
            <w:r w:rsidRPr="004A7FD2">
              <w:rPr>
                <w:rFonts w:ascii="David" w:eastAsia="David" w:hAnsi="David" w:hint="cs"/>
                <w:b/>
                <w:bCs/>
                <w:sz w:val="26"/>
                <w:szCs w:val="26"/>
                <w:rtl/>
              </w:rPr>
              <w:t>ה</w:t>
            </w:r>
            <w:sdt>
              <w:sdtPr>
                <w:rPr>
                  <w:b/>
                  <w:bCs/>
                  <w:sz w:val="26"/>
                  <w:szCs w:val="26"/>
                  <w:rtl/>
                </w:rPr>
                <w:alias w:val="1265"/>
                <w:tag w:val="1265"/>
                <w:id w:val="15438151"/>
                <w:text/>
              </w:sdtPr>
              <w:sdtEndPr/>
              <w:sdtContent>
                <w:r w:rsidRPr="004A7FD2">
                  <w:rPr>
                    <w:rFonts w:ascii="David" w:eastAsia="David" w:hAnsi="David"/>
                    <w:b/>
                    <w:bCs/>
                    <w:sz w:val="26"/>
                    <w:szCs w:val="26"/>
                    <w:rtl/>
                  </w:rPr>
                  <w:t>משיבה</w:t>
                </w:r>
              </w:sdtContent>
            </w:sdt>
          </w:p>
        </w:tc>
        <w:tc>
          <w:tcPr>
            <w:tcW w:w="5734" w:type="dxa"/>
            <w:gridSpan w:val="2"/>
            <w:hideMark/>
          </w:tcPr>
          <w:p w:rsidR="00FA4914" w:rsidRDefault="004A7FD2" w:rsidP="00EB7309">
            <w:pPr>
              <w:suppressLineNumbers/>
              <w:spacing w:after="120"/>
              <w:rPr>
                <w:rFonts w:ascii="David" w:eastAsia="David" w:hAnsi="David"/>
                <w:b/>
                <w:bCs/>
                <w:rtl/>
              </w:rPr>
            </w:pPr>
            <w:r>
              <w:rPr>
                <w:rFonts w:ascii="David" w:eastAsia="David" w:hAnsi="David" w:hint="cs"/>
                <w:b/>
                <w:bCs/>
                <w:rtl/>
              </w:rPr>
              <w:t xml:space="preserve"> </w:t>
            </w:r>
            <w:sdt>
              <w:sdtPr>
                <w:rPr>
                  <w:b/>
                  <w:bCs/>
                  <w:sz w:val="26"/>
                  <w:szCs w:val="26"/>
                  <w:rtl/>
                </w:rPr>
                <w:alias w:val="1266"/>
                <w:tag w:val="1266"/>
                <w:id w:val="1865085449"/>
                <w:placeholder>
                  <w:docPart w:val="E7C654DD2B95484F9C72BABA6D761375"/>
                </w:placeholder>
                <w:text w:multiLine="1"/>
              </w:sdtPr>
              <w:sdtEndPr/>
              <w:sdtContent>
                <w:r w:rsidR="00EB7309">
                  <w:rPr>
                    <w:rFonts w:ascii="David" w:eastAsia="David" w:hAnsi="David"/>
                    <w:b/>
                    <w:bCs/>
                    <w:sz w:val="26"/>
                    <w:szCs w:val="26"/>
                    <w:rtl/>
                  </w:rPr>
                  <w:t>א</w:t>
                </w:r>
                <w:r w:rsidR="00EB7309">
                  <w:rPr>
                    <w:rFonts w:ascii="David" w:eastAsia="David" w:hAnsi="David" w:hint="cs"/>
                    <w:b/>
                    <w:bCs/>
                    <w:sz w:val="26"/>
                    <w:szCs w:val="26"/>
                    <w:rtl/>
                  </w:rPr>
                  <w:t>. ח</w:t>
                </w:r>
              </w:sdtContent>
            </w:sdt>
            <w:r>
              <w:rPr>
                <w:rFonts w:hint="cs"/>
                <w:b/>
                <w:bCs/>
                <w:rtl/>
              </w:rPr>
              <w:t xml:space="preserve"> </w:t>
            </w:r>
          </w:p>
          <w:p w:rsidR="004A7FD2" w:rsidRPr="004A7FD2" w:rsidRDefault="004A7FD2" w:rsidP="004A7FD2">
            <w:pPr>
              <w:suppressLineNumbers/>
              <w:spacing w:after="120"/>
              <w:rPr>
                <w:rFonts w:ascii="David" w:eastAsia="David" w:hAnsi="David"/>
                <w:b/>
                <w:bCs/>
                <w:sz w:val="26"/>
                <w:szCs w:val="26"/>
                <w:rtl/>
              </w:rPr>
            </w:pPr>
            <w:r w:rsidRPr="004A7FD2">
              <w:rPr>
                <w:rFonts w:ascii="David" w:eastAsia="David" w:hAnsi="David" w:hint="cs"/>
                <w:b/>
                <w:bCs/>
                <w:sz w:val="26"/>
                <w:szCs w:val="26"/>
                <w:rtl/>
              </w:rPr>
              <w:t>ע"י ב"כ עוה"ד הדס פרידמן כהן</w:t>
            </w:r>
          </w:p>
          <w:p w:rsidR="004A7FD2" w:rsidRDefault="004A7FD2" w:rsidP="004A7FD2">
            <w:pPr>
              <w:suppressLineNumbers/>
              <w:spacing w:after="120"/>
              <w:rPr>
                <w:rFonts w:ascii="David" w:eastAsia="David" w:hAnsi="David"/>
                <w:b/>
                <w:bCs/>
                <w:rtl/>
              </w:rPr>
            </w:pPr>
          </w:p>
        </w:tc>
      </w:tr>
      <w:tr w:rsidR="00694556" w:rsidRPr="00DE1E7D" w:rsidTr="00F45DA5">
        <w:tblPrEx>
          <w:jc w:val="center"/>
          <w:tblInd w:w="0" w:type="dxa"/>
        </w:tblPrEx>
        <w:trPr>
          <w:gridBefore w:val="1"/>
          <w:gridAfter w:val="1"/>
          <w:wBefore w:w="34" w:type="dxa"/>
          <w:wAfter w:w="126" w:type="dxa"/>
          <w:jc w:val="center"/>
        </w:trPr>
        <w:tc>
          <w:tcPr>
            <w:tcW w:w="8820" w:type="dxa"/>
            <w:gridSpan w:val="2"/>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F45DA5" w:rsidRDefault="00F45DA5" w:rsidP="004A7FD2">
      <w:pPr>
        <w:spacing w:after="120" w:line="360" w:lineRule="auto"/>
        <w:jc w:val="both"/>
        <w:rPr>
          <w:b/>
          <w:bCs/>
          <w:rtl/>
        </w:rPr>
      </w:pPr>
      <w:bookmarkStart w:id="0" w:name="NGCSBookmark"/>
      <w:bookmarkEnd w:id="0"/>
      <w:r w:rsidRPr="00C45D12">
        <w:rPr>
          <w:rFonts w:hint="cs"/>
          <w:b/>
          <w:bCs/>
          <w:u w:val="single"/>
          <w:rtl/>
        </w:rPr>
        <w:t>השופט אריה נאמן</w:t>
      </w:r>
      <w:r>
        <w:rPr>
          <w:rFonts w:hint="cs"/>
          <w:b/>
          <w:bCs/>
          <w:rtl/>
        </w:rPr>
        <w:t>:</w:t>
      </w:r>
    </w:p>
    <w:p w:rsidR="00F45DA5" w:rsidRPr="00743795" w:rsidRDefault="00F45DA5" w:rsidP="004A7FD2">
      <w:pPr>
        <w:spacing w:after="120" w:line="360" w:lineRule="auto"/>
        <w:jc w:val="both"/>
        <w:rPr>
          <w:rtl/>
        </w:rPr>
      </w:pPr>
      <w:r w:rsidRPr="00C45D12">
        <w:rPr>
          <w:rFonts w:hint="cs"/>
          <w:rtl/>
        </w:rPr>
        <w:t>לפנינו</w:t>
      </w:r>
      <w:r w:rsidRPr="00743795">
        <w:rPr>
          <w:rFonts w:hint="cs"/>
          <w:rtl/>
        </w:rPr>
        <w:t xml:space="preserve"> ערעור על פסק דינו של בימ"ש קמא מיום 1.6.23 (כב' השופטת גילה ספרא-ברנע) במסגרתו נפסק כי המשיבה (</w:t>
      </w:r>
      <w:r w:rsidRPr="00743795">
        <w:rPr>
          <w:rFonts w:hint="cs"/>
          <w:b/>
          <w:bCs/>
          <w:rtl/>
        </w:rPr>
        <w:t xml:space="preserve">להלן: </w:t>
      </w:r>
      <w:r w:rsidRPr="00743795">
        <w:rPr>
          <w:rFonts w:hint="cs"/>
          <w:b/>
          <w:bCs/>
          <w:u w:val="single"/>
          <w:rtl/>
        </w:rPr>
        <w:t>"האם"</w:t>
      </w:r>
      <w:r w:rsidRPr="00743795">
        <w:rPr>
          <w:rFonts w:hint="cs"/>
          <w:rtl/>
        </w:rPr>
        <w:t>) תשלם פיצויים למערער (</w:t>
      </w:r>
      <w:r w:rsidRPr="00743795">
        <w:rPr>
          <w:rFonts w:hint="cs"/>
          <w:b/>
          <w:bCs/>
          <w:rtl/>
        </w:rPr>
        <w:t xml:space="preserve">להלן: </w:t>
      </w:r>
      <w:r w:rsidRPr="00743795">
        <w:rPr>
          <w:rFonts w:hint="cs"/>
          <w:b/>
          <w:bCs/>
          <w:u w:val="single"/>
          <w:rtl/>
        </w:rPr>
        <w:t>"האב"</w:t>
      </w:r>
      <w:r w:rsidRPr="00743795">
        <w:rPr>
          <w:rFonts w:hint="cs"/>
          <w:rtl/>
        </w:rPr>
        <w:t>) בסך 35,000 ₪ בגין הסתרת האם ממנו את לידת בנם ואת אירוע ברית המילה; ערעור האב מכוון כנגד שיעור גובה הפיצוי שנפסק.</w:t>
      </w:r>
    </w:p>
    <w:p w:rsidR="00F45DA5" w:rsidRPr="00743795" w:rsidRDefault="00F45DA5" w:rsidP="004A7FD2">
      <w:pPr>
        <w:spacing w:after="120" w:line="360" w:lineRule="auto"/>
        <w:jc w:val="both"/>
        <w:rPr>
          <w:rtl/>
        </w:rPr>
      </w:pPr>
      <w:r w:rsidRPr="00743795">
        <w:rPr>
          <w:rFonts w:ascii="Aharoni" w:hAnsi="Aharoni" w:cs="Aharoni"/>
          <w:rtl/>
        </w:rPr>
        <w:t>[</w:t>
      </w:r>
      <w:r w:rsidRPr="00743795">
        <w:rPr>
          <w:rFonts w:ascii="Aharoni" w:hAnsi="Aharoni" w:cs="Aharoni"/>
          <w:b/>
          <w:bCs/>
          <w:u w:val="single"/>
          <w:rtl/>
        </w:rPr>
        <w:t>הערה</w:t>
      </w:r>
      <w:r w:rsidRPr="00743795">
        <w:rPr>
          <w:rFonts w:ascii="Aharoni" w:hAnsi="Aharoni" w:cs="Aharoni"/>
          <w:rtl/>
        </w:rPr>
        <w:t>: ההדגשות ב</w:t>
      </w:r>
      <w:r w:rsidRPr="00743795">
        <w:rPr>
          <w:rFonts w:ascii="Aharoni" w:hAnsi="Aharoni" w:cs="Aharoni" w:hint="cs"/>
          <w:rtl/>
        </w:rPr>
        <w:t>כל ה</w:t>
      </w:r>
      <w:r w:rsidRPr="00743795">
        <w:rPr>
          <w:rFonts w:ascii="Aharoni" w:hAnsi="Aharoni" w:cs="Aharoni"/>
          <w:rtl/>
        </w:rPr>
        <w:t>ציטוטי</w:t>
      </w:r>
      <w:r w:rsidRPr="00743795">
        <w:rPr>
          <w:rFonts w:ascii="Aharoni" w:hAnsi="Aharoni" w:cs="Aharoni" w:hint="cs"/>
          <w:rtl/>
        </w:rPr>
        <w:t xml:space="preserve">ם שיבואו </w:t>
      </w:r>
      <w:r w:rsidRPr="00743795">
        <w:rPr>
          <w:rFonts w:ascii="Aharoni" w:hAnsi="Aharoni" w:cs="Aharoni"/>
          <w:rtl/>
        </w:rPr>
        <w:t>להלן, אינן במקור ונועדו לשם ההדגשה בלבד]</w:t>
      </w:r>
      <w:r>
        <w:rPr>
          <w:rFonts w:ascii="Aharoni" w:hAnsi="Aharoni" w:cs="Aharoni" w:hint="cs"/>
          <w:rtl/>
        </w:rPr>
        <w:t>.</w:t>
      </w:r>
    </w:p>
    <w:p w:rsidR="00F45DA5" w:rsidRPr="00743795" w:rsidRDefault="00F45DA5" w:rsidP="004A7FD2">
      <w:pPr>
        <w:pStyle w:val="ad"/>
        <w:numPr>
          <w:ilvl w:val="0"/>
          <w:numId w:val="1"/>
        </w:numPr>
        <w:spacing w:after="120" w:line="360" w:lineRule="auto"/>
        <w:ind w:left="368"/>
        <w:contextualSpacing w:val="0"/>
        <w:rPr>
          <w:rtl/>
        </w:rPr>
      </w:pPr>
      <w:r>
        <w:rPr>
          <w:rFonts w:hint="cs"/>
          <w:rtl/>
        </w:rPr>
        <w:t>פתח דבר א</w:t>
      </w:r>
      <w:r w:rsidRPr="00743795">
        <w:rPr>
          <w:rFonts w:hint="cs"/>
          <w:rtl/>
        </w:rPr>
        <w:t>ציין, כי למרות שהאם בתשובתה כללה טענות ערעוריות לגבי חלקים אחרים בפסה"ד, בדיון לפנינו הסכימה ב"כ האם כי ההכרעה בערעור תתייחס אך ורק לערעורו של האב.</w:t>
      </w:r>
    </w:p>
    <w:p w:rsidR="00F45DA5" w:rsidRPr="00743795" w:rsidRDefault="00F45DA5" w:rsidP="004A7FD2">
      <w:pPr>
        <w:pStyle w:val="ad"/>
        <w:numPr>
          <w:ilvl w:val="0"/>
          <w:numId w:val="1"/>
        </w:numPr>
        <w:spacing w:after="120" w:line="360" w:lineRule="auto"/>
        <w:ind w:left="368"/>
        <w:contextualSpacing w:val="0"/>
      </w:pPr>
      <w:r>
        <w:rPr>
          <w:rFonts w:hint="cs"/>
          <w:rtl/>
        </w:rPr>
        <w:t>עוד א</w:t>
      </w:r>
      <w:r w:rsidRPr="00743795">
        <w:rPr>
          <w:rFonts w:hint="cs"/>
          <w:rtl/>
        </w:rPr>
        <w:t xml:space="preserve">ציין, כי האב ציין בראשית ערעורו </w:t>
      </w:r>
      <w:r>
        <w:rPr>
          <w:rFonts w:hint="cs"/>
          <w:rtl/>
        </w:rPr>
        <w:t>שאינו</w:t>
      </w:r>
      <w:r w:rsidRPr="00743795">
        <w:rPr>
          <w:rFonts w:hint="cs"/>
          <w:rtl/>
        </w:rPr>
        <w:t xml:space="preserve"> מערער על הקביעות והממצאים שנקבעו בפסה"ד וכל ערעורו מכוון כנגד שיעור גובה הפיצוי שנפסק. </w:t>
      </w:r>
    </w:p>
    <w:p w:rsidR="00F45DA5" w:rsidRPr="00743795" w:rsidRDefault="00F45DA5" w:rsidP="004A7FD2">
      <w:pPr>
        <w:pStyle w:val="ad"/>
        <w:spacing w:after="120" w:line="360" w:lineRule="auto"/>
        <w:ind w:left="368"/>
        <w:contextualSpacing w:val="0"/>
        <w:rPr>
          <w:rtl/>
        </w:rPr>
      </w:pPr>
      <w:r w:rsidRPr="00743795">
        <w:rPr>
          <w:rFonts w:hint="cs"/>
          <w:rtl/>
        </w:rPr>
        <w:t>אמנם האם מצידה בתשובתה לערעור, משיגה על חלק מממצאי העובד</w:t>
      </w:r>
      <w:r>
        <w:rPr>
          <w:rFonts w:hint="cs"/>
          <w:rtl/>
        </w:rPr>
        <w:t>ה והמהימנות שנקבעו בפסה"ד קמא, ברם א</w:t>
      </w:r>
      <w:r w:rsidRPr="00743795">
        <w:rPr>
          <w:rFonts w:hint="cs"/>
          <w:rtl/>
        </w:rPr>
        <w:t xml:space="preserve">זכיר כי ההלכה הפסוקה בדבר </w:t>
      </w:r>
      <w:r w:rsidRPr="00743795">
        <w:rPr>
          <w:noProof/>
          <w:rtl/>
        </w:rPr>
        <w:t xml:space="preserve">התערבות ערכאת הערעור בקביעות עובדתיות ובממצאי מהימנות </w:t>
      </w:r>
      <w:r w:rsidRPr="00743795">
        <w:rPr>
          <w:rFonts w:hint="cs"/>
          <w:noProof/>
          <w:rtl/>
        </w:rPr>
        <w:t xml:space="preserve">הינה, שהתערבות שכזו </w:t>
      </w:r>
      <w:r w:rsidRPr="00743795">
        <w:rPr>
          <w:noProof/>
          <w:rtl/>
        </w:rPr>
        <w:t xml:space="preserve">תיעשה בהתקיים נסיבות מיוחדות וחריגות בלבד, בהן מתגלה שגיאה בולטת על פני החלטתו של בית משפט קמא. כך למשל כאשר ממצאי העובדה אינם מעוגנים כלל בחומר הראיות, או מקום שבו הגרסה העובדתית שאותה אימץ בית משפט קמא אינה מתקבלת על הדעת ואינה מתיישבת עם מבחנים של היגיון ושכל ישר </w:t>
      </w:r>
      <w:r w:rsidRPr="00DE3ED4">
        <w:rPr>
          <w:rFonts w:hint="cs"/>
          <w:noProof/>
          <w:rtl/>
        </w:rPr>
        <w:t>(</w:t>
      </w:r>
      <w:r w:rsidRPr="00DE3ED4">
        <w:rPr>
          <w:b/>
          <w:bCs/>
          <w:noProof/>
          <w:rtl/>
        </w:rPr>
        <w:t>ע"א 10225/02</w:t>
      </w:r>
      <w:r w:rsidRPr="00DE3ED4">
        <w:rPr>
          <w:noProof/>
          <w:rtl/>
        </w:rPr>
        <w:t xml:space="preserve"> </w:t>
      </w:r>
      <w:r w:rsidRPr="00DE3ED4">
        <w:rPr>
          <w:b/>
          <w:bCs/>
          <w:noProof/>
          <w:rtl/>
        </w:rPr>
        <w:t>פרץ</w:t>
      </w:r>
      <w:r w:rsidRPr="00743795">
        <w:rPr>
          <w:b/>
          <w:bCs/>
          <w:noProof/>
          <w:rtl/>
        </w:rPr>
        <w:t xml:space="preserve"> נ' פרץ בוני הנגב</w:t>
      </w:r>
      <w:r w:rsidRPr="00743795">
        <w:rPr>
          <w:noProof/>
          <w:rtl/>
        </w:rPr>
        <w:t xml:space="preserve"> (15.1.2004</w:t>
      </w:r>
      <w:r w:rsidRPr="00DE3ED4">
        <w:rPr>
          <w:noProof/>
          <w:rtl/>
        </w:rPr>
        <w:t xml:space="preserve">); </w:t>
      </w:r>
      <w:r w:rsidRPr="00DE3ED4">
        <w:rPr>
          <w:b/>
          <w:bCs/>
          <w:noProof/>
          <w:rtl/>
        </w:rPr>
        <w:t>ע"א 826/21</w:t>
      </w:r>
      <w:r w:rsidRPr="00DE3ED4">
        <w:rPr>
          <w:noProof/>
          <w:rtl/>
        </w:rPr>
        <w:t xml:space="preserve"> ‏</w:t>
      </w:r>
      <w:r w:rsidRPr="00DE3ED4">
        <w:rPr>
          <w:b/>
          <w:bCs/>
          <w:noProof/>
          <w:rtl/>
        </w:rPr>
        <w:t>הימנותא בע"מ נ' יוסף שדאד</w:t>
      </w:r>
      <w:r w:rsidRPr="00DE3ED4">
        <w:rPr>
          <w:noProof/>
          <w:rtl/>
        </w:rPr>
        <w:t xml:space="preserve"> (3.3.</w:t>
      </w:r>
      <w:r w:rsidRPr="00DE3ED4">
        <w:rPr>
          <w:rFonts w:hint="cs"/>
          <w:noProof/>
          <w:rtl/>
        </w:rPr>
        <w:t>2</w:t>
      </w:r>
      <w:r w:rsidRPr="00743795">
        <w:rPr>
          <w:rFonts w:hint="cs"/>
          <w:noProof/>
          <w:rtl/>
        </w:rPr>
        <w:t>0</w:t>
      </w:r>
      <w:r w:rsidRPr="00743795">
        <w:rPr>
          <w:noProof/>
          <w:rtl/>
        </w:rPr>
        <w:t>21)</w:t>
      </w:r>
      <w:r w:rsidRPr="00743795">
        <w:rPr>
          <w:rFonts w:hint="cs"/>
          <w:noProof/>
          <w:rtl/>
        </w:rPr>
        <w:t>).</w:t>
      </w:r>
    </w:p>
    <w:p w:rsidR="00F45DA5" w:rsidRDefault="00F45DA5" w:rsidP="004A7FD2">
      <w:pPr>
        <w:spacing w:after="120" w:line="360" w:lineRule="auto"/>
        <w:ind w:left="368"/>
        <w:jc w:val="both"/>
        <w:rPr>
          <w:b/>
          <w:bCs/>
          <w:u w:val="single"/>
          <w:rtl/>
        </w:rPr>
      </w:pPr>
      <w:r w:rsidRPr="00743795">
        <w:rPr>
          <w:rFonts w:hint="cs"/>
          <w:rtl/>
        </w:rPr>
        <w:t xml:space="preserve">בחינת </w:t>
      </w:r>
      <w:r w:rsidRPr="00743795">
        <w:rPr>
          <w:rtl/>
        </w:rPr>
        <w:t>המקרה דנן</w:t>
      </w:r>
      <w:r w:rsidRPr="00743795">
        <w:rPr>
          <w:rFonts w:hint="cs"/>
          <w:rtl/>
        </w:rPr>
        <w:t xml:space="preserve"> מעלה כי הוא</w:t>
      </w:r>
      <w:r w:rsidRPr="00743795">
        <w:rPr>
          <w:rtl/>
        </w:rPr>
        <w:t xml:space="preserve"> אינו נכלל באותם מקרים "חריגים קיצוניים". עיון בפסק הדין לכל אורכו, נימוקיו וקביעותיו, מלמד כי </w:t>
      </w:r>
      <w:r w:rsidRPr="00743795">
        <w:rPr>
          <w:rFonts w:hint="cs"/>
          <w:rtl/>
        </w:rPr>
        <w:t xml:space="preserve">בית </w:t>
      </w:r>
      <w:r w:rsidRPr="00743795">
        <w:rPr>
          <w:rtl/>
        </w:rPr>
        <w:t xml:space="preserve">משפט קמא דן באופן יסודי בטענות הצדדים, בחן את חומר </w:t>
      </w:r>
      <w:r w:rsidRPr="00743795">
        <w:rPr>
          <w:rtl/>
        </w:rPr>
        <w:lastRenderedPageBreak/>
        <w:t>הראיות שהונח לפניו</w:t>
      </w:r>
      <w:r w:rsidRPr="00743795">
        <w:rPr>
          <w:rFonts w:hint="cs"/>
          <w:rtl/>
        </w:rPr>
        <w:t xml:space="preserve"> ו</w:t>
      </w:r>
      <w:r w:rsidRPr="00743795">
        <w:rPr>
          <w:rtl/>
        </w:rPr>
        <w:t xml:space="preserve">התרשם </w:t>
      </w:r>
      <w:r w:rsidRPr="00743795">
        <w:rPr>
          <w:rFonts w:hint="cs"/>
          <w:rtl/>
        </w:rPr>
        <w:t xml:space="preserve">מעדויות הצדדים לרבות </w:t>
      </w:r>
      <w:r w:rsidRPr="00743795">
        <w:rPr>
          <w:rtl/>
        </w:rPr>
        <w:t xml:space="preserve">חקירותיהם </w:t>
      </w:r>
      <w:r w:rsidRPr="00743795">
        <w:rPr>
          <w:rFonts w:hint="cs"/>
          <w:rtl/>
        </w:rPr>
        <w:t>בפניו</w:t>
      </w:r>
      <w:r w:rsidRPr="00743795">
        <w:rPr>
          <w:rtl/>
        </w:rPr>
        <w:t xml:space="preserve">. על יסוד כל אלה </w:t>
      </w:r>
      <w:r w:rsidRPr="00743795">
        <w:rPr>
          <w:rFonts w:hint="cs"/>
          <w:rtl/>
        </w:rPr>
        <w:t>נקבעו קביעות עובדתיות וממצאי מהימנות ברורים וחד-משמעיים</w:t>
      </w:r>
      <w:r w:rsidRPr="00743795">
        <w:rPr>
          <w:rtl/>
        </w:rPr>
        <w:t>, ולא מצא</w:t>
      </w:r>
      <w:r w:rsidRPr="00743795">
        <w:rPr>
          <w:rFonts w:hint="cs"/>
          <w:rtl/>
        </w:rPr>
        <w:t>נו</w:t>
      </w:r>
      <w:r w:rsidRPr="00743795">
        <w:rPr>
          <w:rtl/>
        </w:rPr>
        <w:t xml:space="preserve"> בטענות ה</w:t>
      </w:r>
      <w:r w:rsidRPr="00743795">
        <w:rPr>
          <w:rFonts w:hint="cs"/>
          <w:rtl/>
        </w:rPr>
        <w:t>אם</w:t>
      </w:r>
      <w:r w:rsidRPr="00743795">
        <w:rPr>
          <w:rtl/>
        </w:rPr>
        <w:t xml:space="preserve"> כל בסיס להתערבות בקביעות אלה. </w:t>
      </w:r>
      <w:r w:rsidRPr="00743795">
        <w:rPr>
          <w:rFonts w:hint="cs"/>
          <w:b/>
          <w:bCs/>
          <w:rtl/>
        </w:rPr>
        <w:t>על כן נקודת המוצא בפסק דין זה הינה, שכל הקביעות העובדתיות וממצאי המהימנות שנקבעו ושימשו בסיס לפסה"ד, נותרים בעינם</w:t>
      </w:r>
      <w:r w:rsidRPr="00743795">
        <w:rPr>
          <w:rFonts w:hint="cs"/>
          <w:rtl/>
        </w:rPr>
        <w:t>.</w:t>
      </w:r>
    </w:p>
    <w:p w:rsidR="00F45DA5" w:rsidRPr="00743795" w:rsidRDefault="00F45DA5" w:rsidP="004A7FD2">
      <w:pPr>
        <w:spacing w:after="120" w:line="360" w:lineRule="auto"/>
        <w:ind w:left="368"/>
        <w:jc w:val="both"/>
        <w:rPr>
          <w:b/>
          <w:bCs/>
          <w:u w:val="single"/>
          <w:rtl/>
        </w:rPr>
      </w:pPr>
    </w:p>
    <w:p w:rsidR="00F45DA5" w:rsidRPr="00743795" w:rsidRDefault="00F45DA5" w:rsidP="004A7FD2">
      <w:pPr>
        <w:spacing w:after="120" w:line="360" w:lineRule="auto"/>
        <w:jc w:val="both"/>
        <w:rPr>
          <w:rtl/>
        </w:rPr>
      </w:pPr>
      <w:r>
        <w:rPr>
          <w:rFonts w:hint="cs"/>
          <w:b/>
          <w:bCs/>
          <w:u w:val="single"/>
          <w:rtl/>
        </w:rPr>
        <w:t>רקע עובדתי בהתאם לממצאי פסה"ד קמא</w:t>
      </w:r>
    </w:p>
    <w:p w:rsidR="00F45DA5" w:rsidRPr="00743795" w:rsidRDefault="00F45DA5" w:rsidP="004521B0">
      <w:pPr>
        <w:pStyle w:val="ad"/>
        <w:numPr>
          <w:ilvl w:val="0"/>
          <w:numId w:val="1"/>
        </w:numPr>
        <w:spacing w:after="120" w:line="360" w:lineRule="auto"/>
        <w:ind w:left="368"/>
        <w:contextualSpacing w:val="0"/>
      </w:pPr>
      <w:r w:rsidRPr="00743795">
        <w:rPr>
          <w:rFonts w:hint="cs"/>
          <w:rtl/>
        </w:rPr>
        <w:t>הצדדים אינם נשואים זל"ז ו</w:t>
      </w:r>
      <w:r w:rsidRPr="00743795">
        <w:rPr>
          <w:rtl/>
        </w:rPr>
        <w:t>ניהלו מערכת זוגית במשך כ</w:t>
      </w:r>
      <w:r w:rsidRPr="00743795">
        <w:rPr>
          <w:rFonts w:hint="cs"/>
          <w:rtl/>
        </w:rPr>
        <w:t>-7</w:t>
      </w:r>
      <w:r w:rsidRPr="00743795">
        <w:rPr>
          <w:rtl/>
        </w:rPr>
        <w:t xml:space="preserve"> שנים, מתוכן התגורר</w:t>
      </w:r>
      <w:r w:rsidRPr="00743795">
        <w:rPr>
          <w:rFonts w:hint="cs"/>
          <w:rtl/>
        </w:rPr>
        <w:t>ו יחד כ-4</w:t>
      </w:r>
      <w:r w:rsidRPr="00743795">
        <w:rPr>
          <w:rtl/>
        </w:rPr>
        <w:t xml:space="preserve"> שנים</w:t>
      </w:r>
      <w:r w:rsidRPr="00743795">
        <w:rPr>
          <w:rFonts w:hint="cs"/>
          <w:rtl/>
        </w:rPr>
        <w:t>,</w:t>
      </w:r>
      <w:r w:rsidRPr="00743795">
        <w:rPr>
          <w:rtl/>
        </w:rPr>
        <w:t xml:space="preserve"> עד ליום </w:t>
      </w:r>
      <w:r w:rsidR="004521B0">
        <w:rPr>
          <w:rFonts w:hint="cs"/>
          <w:rtl/>
        </w:rPr>
        <w:t>... [2019]</w:t>
      </w:r>
      <w:r w:rsidRPr="00743795">
        <w:rPr>
          <w:rtl/>
        </w:rPr>
        <w:t xml:space="preserve"> בו יצאה האם מדירת המגורים השכורה בה התגוררו הצדדים. </w:t>
      </w:r>
    </w:p>
    <w:p w:rsidR="00F45DA5" w:rsidRPr="00743795" w:rsidRDefault="00F45DA5" w:rsidP="004A7FD2">
      <w:pPr>
        <w:pStyle w:val="ad"/>
        <w:numPr>
          <w:ilvl w:val="0"/>
          <w:numId w:val="1"/>
        </w:numPr>
        <w:spacing w:after="120" w:line="360" w:lineRule="auto"/>
        <w:ind w:left="368"/>
        <w:contextualSpacing w:val="0"/>
        <w:rPr>
          <w:rtl/>
        </w:rPr>
      </w:pPr>
      <w:r w:rsidRPr="00743795">
        <w:rPr>
          <w:rtl/>
        </w:rPr>
        <w:t>הצדדים הכירו כאשר האם הייתה גרושה</w:t>
      </w:r>
      <w:r w:rsidRPr="00743795">
        <w:rPr>
          <w:rFonts w:hint="cs"/>
          <w:rtl/>
        </w:rPr>
        <w:t xml:space="preserve"> מזה כ-8 שנים</w:t>
      </w:r>
      <w:r w:rsidRPr="00743795">
        <w:rPr>
          <w:rtl/>
        </w:rPr>
        <w:t xml:space="preserve"> ולה קטין נוסף ממערכת היחסים הקודמת</w:t>
      </w:r>
      <w:r w:rsidRPr="00743795">
        <w:rPr>
          <w:rFonts w:hint="cs"/>
          <w:rtl/>
        </w:rPr>
        <w:t xml:space="preserve"> (כיום כבן 15),</w:t>
      </w:r>
      <w:r w:rsidRPr="00743795">
        <w:rPr>
          <w:rtl/>
        </w:rPr>
        <w:t xml:space="preserve"> והאב היה רווק ללא ילדים נוספים</w:t>
      </w:r>
      <w:r w:rsidRPr="00743795">
        <w:rPr>
          <w:rFonts w:hint="cs"/>
          <w:rtl/>
        </w:rPr>
        <w:t>.</w:t>
      </w:r>
    </w:p>
    <w:p w:rsidR="00F45DA5" w:rsidRPr="00743795" w:rsidRDefault="00F45DA5" w:rsidP="004521B0">
      <w:pPr>
        <w:pStyle w:val="ad"/>
        <w:numPr>
          <w:ilvl w:val="0"/>
          <w:numId w:val="1"/>
        </w:numPr>
        <w:spacing w:after="120" w:line="360" w:lineRule="auto"/>
        <w:ind w:left="368"/>
        <w:contextualSpacing w:val="0"/>
        <w:rPr>
          <w:rtl/>
        </w:rPr>
      </w:pPr>
      <w:r w:rsidRPr="00743795">
        <w:rPr>
          <w:rtl/>
        </w:rPr>
        <w:t>ממערכת היחסים</w:t>
      </w:r>
      <w:r w:rsidRPr="00743795">
        <w:rPr>
          <w:rFonts w:hint="cs"/>
          <w:rtl/>
        </w:rPr>
        <w:t xml:space="preserve"> הזוגית ש</w:t>
      </w:r>
      <w:r w:rsidRPr="00743795">
        <w:rPr>
          <w:rtl/>
        </w:rPr>
        <w:t>בין הצדדים נולדו שני קטינים</w:t>
      </w:r>
      <w:r w:rsidRPr="00743795">
        <w:rPr>
          <w:rFonts w:hint="cs"/>
          <w:rtl/>
        </w:rPr>
        <w:t xml:space="preserve">: </w:t>
      </w:r>
      <w:r w:rsidR="004521B0">
        <w:rPr>
          <w:rFonts w:hint="cs"/>
          <w:rtl/>
        </w:rPr>
        <w:t>ט'</w:t>
      </w:r>
      <w:r w:rsidRPr="00743795">
        <w:rPr>
          <w:rtl/>
        </w:rPr>
        <w:t xml:space="preserve"> </w:t>
      </w:r>
      <w:r w:rsidRPr="00743795">
        <w:rPr>
          <w:rFonts w:hint="cs"/>
          <w:rtl/>
        </w:rPr>
        <w:t xml:space="preserve">כיום כבת 5 </w:t>
      </w:r>
      <w:r w:rsidRPr="00743795">
        <w:rPr>
          <w:rtl/>
        </w:rPr>
        <w:t>ו</w:t>
      </w:r>
      <w:r w:rsidRPr="00743795">
        <w:rPr>
          <w:rFonts w:hint="cs"/>
          <w:rtl/>
        </w:rPr>
        <w:t>-</w:t>
      </w:r>
      <w:r w:rsidR="004521B0">
        <w:rPr>
          <w:b/>
          <w:bCs/>
          <w:rtl/>
        </w:rPr>
        <w:t>א</w:t>
      </w:r>
      <w:r w:rsidR="004521B0">
        <w:rPr>
          <w:rFonts w:hint="cs"/>
          <w:b/>
          <w:bCs/>
          <w:rtl/>
        </w:rPr>
        <w:t>'</w:t>
      </w:r>
      <w:r w:rsidRPr="00C45D12">
        <w:rPr>
          <w:b/>
          <w:bCs/>
          <w:rtl/>
        </w:rPr>
        <w:t xml:space="preserve"> </w:t>
      </w:r>
      <w:r w:rsidRPr="00C45D12">
        <w:rPr>
          <w:rFonts w:hint="cs"/>
          <w:b/>
          <w:bCs/>
          <w:rtl/>
        </w:rPr>
        <w:t>כיום כבן</w:t>
      </w:r>
      <w:r w:rsidRPr="00C45D12">
        <w:rPr>
          <w:b/>
          <w:bCs/>
          <w:rtl/>
        </w:rPr>
        <w:t xml:space="preserve"> 4</w:t>
      </w:r>
      <w:r w:rsidRPr="00C45D12">
        <w:rPr>
          <w:rFonts w:hint="cs"/>
          <w:b/>
          <w:bCs/>
          <w:rtl/>
        </w:rPr>
        <w:t xml:space="preserve">, </w:t>
      </w:r>
      <w:r w:rsidRPr="00C45D12">
        <w:rPr>
          <w:b/>
          <w:bCs/>
          <w:rtl/>
        </w:rPr>
        <w:t xml:space="preserve">אשר נולד </w:t>
      </w:r>
      <w:r w:rsidRPr="00C45D12">
        <w:rPr>
          <w:rFonts w:hint="cs"/>
          <w:b/>
          <w:bCs/>
          <w:rtl/>
        </w:rPr>
        <w:t xml:space="preserve">כחודשיים </w:t>
      </w:r>
      <w:r w:rsidRPr="00C45D12">
        <w:rPr>
          <w:b/>
          <w:bCs/>
          <w:rtl/>
        </w:rPr>
        <w:t>לאחר פרידת הצדדים</w:t>
      </w:r>
      <w:r w:rsidRPr="00C45D12">
        <w:rPr>
          <w:rFonts w:hint="cs"/>
          <w:b/>
          <w:bCs/>
          <w:rtl/>
        </w:rPr>
        <w:t xml:space="preserve"> ביום </w:t>
      </w:r>
      <w:r w:rsidR="004521B0">
        <w:rPr>
          <w:rFonts w:hint="cs"/>
          <w:b/>
          <w:bCs/>
          <w:rtl/>
        </w:rPr>
        <w:t xml:space="preserve">[2019] </w:t>
      </w:r>
      <w:r w:rsidRPr="00743795">
        <w:rPr>
          <w:rFonts w:hint="cs"/>
          <w:rtl/>
        </w:rPr>
        <w:t>(</w:t>
      </w:r>
      <w:r w:rsidRPr="00C45D12">
        <w:rPr>
          <w:rFonts w:hint="cs"/>
          <w:b/>
          <w:bCs/>
          <w:rtl/>
        </w:rPr>
        <w:t xml:space="preserve">להלן: </w:t>
      </w:r>
      <w:r w:rsidRPr="00C45D12">
        <w:rPr>
          <w:rFonts w:hint="cs"/>
          <w:b/>
          <w:bCs/>
          <w:u w:val="single"/>
          <w:rtl/>
        </w:rPr>
        <w:t>"הקטין"</w:t>
      </w:r>
      <w:r w:rsidRPr="00743795">
        <w:rPr>
          <w:rFonts w:hint="cs"/>
          <w:rtl/>
        </w:rPr>
        <w:t>).</w:t>
      </w:r>
    </w:p>
    <w:p w:rsidR="00F45DA5" w:rsidRPr="00743795" w:rsidRDefault="00F45DA5" w:rsidP="004521B0">
      <w:pPr>
        <w:pStyle w:val="ad"/>
        <w:numPr>
          <w:ilvl w:val="0"/>
          <w:numId w:val="1"/>
        </w:numPr>
        <w:spacing w:after="120" w:line="360" w:lineRule="auto"/>
        <w:ind w:left="368"/>
        <w:contextualSpacing w:val="0"/>
        <w:rPr>
          <w:rtl/>
        </w:rPr>
      </w:pPr>
      <w:r w:rsidRPr="00743795">
        <w:rPr>
          <w:rFonts w:hint="cs"/>
          <w:rtl/>
        </w:rPr>
        <w:t xml:space="preserve">ביום </w:t>
      </w:r>
      <w:r w:rsidR="004521B0">
        <w:rPr>
          <w:rFonts w:hint="cs"/>
          <w:rtl/>
        </w:rPr>
        <w:t>...</w:t>
      </w:r>
      <w:r w:rsidRPr="00743795">
        <w:rPr>
          <w:rFonts w:hint="cs"/>
          <w:rtl/>
        </w:rPr>
        <w:t xml:space="preserve"> נפרדו </w:t>
      </w:r>
      <w:r w:rsidRPr="00743795">
        <w:rPr>
          <w:rtl/>
        </w:rPr>
        <w:t>הצדדים</w:t>
      </w:r>
      <w:r w:rsidRPr="00743795">
        <w:rPr>
          <w:rFonts w:hint="cs"/>
          <w:rtl/>
        </w:rPr>
        <w:t xml:space="preserve">, </w:t>
      </w:r>
      <w:r w:rsidRPr="00C45D12">
        <w:rPr>
          <w:b/>
          <w:bCs/>
          <w:rtl/>
        </w:rPr>
        <w:t>עת האם הייתה בחודש שביעי להרי</w:t>
      </w:r>
      <w:r w:rsidRPr="00C45D12">
        <w:rPr>
          <w:rFonts w:hint="cs"/>
          <w:b/>
          <w:bCs/>
          <w:rtl/>
        </w:rPr>
        <w:t>ונה</w:t>
      </w:r>
      <w:r w:rsidRPr="00C45D12">
        <w:rPr>
          <w:b/>
          <w:bCs/>
          <w:rtl/>
        </w:rPr>
        <w:t xml:space="preserve"> עם הקטין</w:t>
      </w:r>
      <w:r w:rsidRPr="00743795">
        <w:rPr>
          <w:rtl/>
        </w:rPr>
        <w:t xml:space="preserve">, </w:t>
      </w:r>
      <w:r w:rsidRPr="00743795">
        <w:rPr>
          <w:rFonts w:hint="cs"/>
          <w:rtl/>
        </w:rPr>
        <w:t>כאשר בפסה"ד נקבע</w:t>
      </w:r>
      <w:r w:rsidRPr="00C45D12">
        <w:rPr>
          <w:rFonts w:hint="cs"/>
          <w:sz w:val="20"/>
          <w:szCs w:val="20"/>
          <w:rtl/>
        </w:rPr>
        <w:t xml:space="preserve"> [סע' 248 ו-258 לפסה"ד] </w:t>
      </w:r>
      <w:r w:rsidRPr="00743795">
        <w:rPr>
          <w:rFonts w:hint="cs"/>
          <w:rtl/>
        </w:rPr>
        <w:t xml:space="preserve">כי האם היא זו שבחרה לעזוב את דירת הצדדים. לאחר עזיבת האם את הבית, נותר האב להתגורר בבית ואילו האם </w:t>
      </w:r>
      <w:r w:rsidRPr="00743795">
        <w:rPr>
          <w:rtl/>
        </w:rPr>
        <w:t>מתגוררת בדירה בבעלותה</w:t>
      </w:r>
      <w:r w:rsidRPr="00743795">
        <w:rPr>
          <w:rFonts w:hint="cs"/>
          <w:rtl/>
        </w:rPr>
        <w:t xml:space="preserve">. </w:t>
      </w:r>
    </w:p>
    <w:p w:rsidR="00F45DA5" w:rsidRPr="00743795" w:rsidRDefault="00F45DA5" w:rsidP="00C437F0">
      <w:pPr>
        <w:pStyle w:val="ad"/>
        <w:numPr>
          <w:ilvl w:val="0"/>
          <w:numId w:val="1"/>
        </w:numPr>
        <w:spacing w:after="120" w:line="360" w:lineRule="auto"/>
        <w:ind w:left="368"/>
        <w:contextualSpacing w:val="0"/>
        <w:rPr>
          <w:rtl/>
        </w:rPr>
      </w:pPr>
      <w:r w:rsidRPr="00743795">
        <w:rPr>
          <w:rFonts w:hint="cs"/>
          <w:rtl/>
        </w:rPr>
        <w:t xml:space="preserve">בחלוף חודש ממועד עזיבת האם את הבית, ביום </w:t>
      </w:r>
      <w:r w:rsidR="00C437F0">
        <w:rPr>
          <w:rFonts w:hint="cs"/>
          <w:rtl/>
        </w:rPr>
        <w:t xml:space="preserve">... </w:t>
      </w:r>
      <w:r w:rsidRPr="00743795">
        <w:rPr>
          <w:rFonts w:hint="cs"/>
          <w:rtl/>
        </w:rPr>
        <w:t>הגיש האב בקשה ליישוב סכסוך, ומכאן ואילך החלו הצדדים בניהול הליכים משפטיים והגשת תביעות זה כנגד זה.</w:t>
      </w:r>
    </w:p>
    <w:p w:rsidR="00F45DA5" w:rsidRPr="00743795" w:rsidRDefault="00F45DA5" w:rsidP="00C437F0">
      <w:pPr>
        <w:pStyle w:val="ad"/>
        <w:numPr>
          <w:ilvl w:val="0"/>
          <w:numId w:val="1"/>
        </w:numPr>
        <w:spacing w:after="120" w:line="360" w:lineRule="auto"/>
        <w:ind w:left="368"/>
        <w:contextualSpacing w:val="0"/>
        <w:rPr>
          <w:rtl/>
        </w:rPr>
      </w:pPr>
      <w:r w:rsidRPr="00743795">
        <w:rPr>
          <w:rFonts w:hint="cs"/>
          <w:rtl/>
        </w:rPr>
        <w:t xml:space="preserve">חודשיים לאחר עזיבת האם את הבית, </w:t>
      </w:r>
      <w:r w:rsidRPr="00C45D12">
        <w:rPr>
          <w:rFonts w:hint="cs"/>
          <w:u w:val="single"/>
          <w:rtl/>
        </w:rPr>
        <w:t xml:space="preserve">ביום </w:t>
      </w:r>
      <w:r w:rsidR="00C437F0">
        <w:rPr>
          <w:rFonts w:hint="cs"/>
          <w:u w:val="single"/>
          <w:rtl/>
        </w:rPr>
        <w:t>...</w:t>
      </w:r>
      <w:r w:rsidRPr="00C45D12">
        <w:rPr>
          <w:rFonts w:hint="cs"/>
          <w:u w:val="single"/>
          <w:rtl/>
        </w:rPr>
        <w:t xml:space="preserve"> נולד הקטין</w:t>
      </w:r>
      <w:r w:rsidRPr="00743795">
        <w:rPr>
          <w:rFonts w:hint="cs"/>
          <w:rtl/>
        </w:rPr>
        <w:t xml:space="preserve">, היה זה מספר שבועות טרם תאריך הלידה המשוער שהיה אמור להיות לדברי שני הצדדים אי-שם בחודש מאי </w:t>
      </w:r>
      <w:r w:rsidRPr="00C45D12">
        <w:rPr>
          <w:rFonts w:hint="cs"/>
          <w:sz w:val="20"/>
          <w:szCs w:val="20"/>
          <w:rtl/>
        </w:rPr>
        <w:t>(סע' 44 לכתב ההגנה של האם)</w:t>
      </w:r>
      <w:r w:rsidRPr="00743795">
        <w:rPr>
          <w:rFonts w:hint="cs"/>
          <w:rtl/>
        </w:rPr>
        <w:t xml:space="preserve">, וכעבור 8 ימים נערך טקס ברית המילה בבית משפחת האם וללא נוכחות האב, </w:t>
      </w:r>
      <w:r w:rsidRPr="00C45D12">
        <w:rPr>
          <w:rFonts w:hint="cs"/>
          <w:u w:val="single"/>
          <w:rtl/>
        </w:rPr>
        <w:t>שכלל לא ידע לא על הלידה ולא על אירוע הברית</w:t>
      </w:r>
      <w:r w:rsidRPr="00743795">
        <w:rPr>
          <w:rFonts w:hint="cs"/>
          <w:rtl/>
        </w:rPr>
        <w:t>.</w:t>
      </w:r>
    </w:p>
    <w:p w:rsidR="00F45DA5" w:rsidRPr="00743795" w:rsidRDefault="00F45DA5" w:rsidP="004A7FD2">
      <w:pPr>
        <w:pStyle w:val="ad"/>
        <w:numPr>
          <w:ilvl w:val="0"/>
          <w:numId w:val="1"/>
        </w:numPr>
        <w:spacing w:after="120" w:line="360" w:lineRule="auto"/>
        <w:ind w:left="368"/>
        <w:contextualSpacing w:val="0"/>
        <w:rPr>
          <w:rtl/>
        </w:rPr>
      </w:pPr>
      <w:r w:rsidRPr="00743795">
        <w:rPr>
          <w:rFonts w:hint="cs"/>
          <w:rtl/>
        </w:rPr>
        <w:t xml:space="preserve">בפס"ד קמא נקבע </w:t>
      </w:r>
      <w:r w:rsidRPr="00C45D12">
        <w:rPr>
          <w:rFonts w:hint="cs"/>
          <w:b/>
          <w:bCs/>
          <w:u w:val="double"/>
          <w:rtl/>
        </w:rPr>
        <w:t>כממצא עובדתי</w:t>
      </w:r>
      <w:r w:rsidRPr="00743795">
        <w:rPr>
          <w:rFonts w:hint="cs"/>
          <w:rtl/>
        </w:rPr>
        <w:t xml:space="preserve"> </w:t>
      </w:r>
      <w:r w:rsidRPr="00C45D12">
        <w:rPr>
          <w:rFonts w:hint="cs"/>
          <w:b/>
          <w:bCs/>
          <w:rtl/>
        </w:rPr>
        <w:t xml:space="preserve">כי האם </w:t>
      </w:r>
      <w:r w:rsidRPr="00C45D12">
        <w:rPr>
          <w:rFonts w:hint="cs"/>
          <w:b/>
          <w:bCs/>
          <w:u w:val="single"/>
          <w:rtl/>
        </w:rPr>
        <w:t>הסתירה</w:t>
      </w:r>
      <w:r w:rsidRPr="00C45D12">
        <w:rPr>
          <w:rFonts w:hint="cs"/>
          <w:b/>
          <w:bCs/>
          <w:rtl/>
        </w:rPr>
        <w:t xml:space="preserve"> מהאב </w:t>
      </w:r>
      <w:r w:rsidRPr="00C45D12">
        <w:rPr>
          <w:rFonts w:hint="cs"/>
          <w:b/>
          <w:bCs/>
          <w:u w:val="single"/>
          <w:rtl/>
        </w:rPr>
        <w:t>במכוון ובזדון</w:t>
      </w:r>
      <w:r w:rsidRPr="00C45D12">
        <w:rPr>
          <w:rFonts w:hint="cs"/>
          <w:b/>
          <w:bCs/>
          <w:rtl/>
        </w:rPr>
        <w:t xml:space="preserve"> את לידת הקטין וכן את אירוע הברית, לא רק באמצעות התנהגות פסיבית בכך שלא סיפרה לאב על הלידה אלא פעלה באופן אקטיבי ולאחר הלידה הציגה לאב </w:t>
      </w:r>
      <w:r w:rsidRPr="00C45D12">
        <w:rPr>
          <w:rFonts w:hint="cs"/>
          <w:b/>
          <w:bCs/>
          <w:u w:val="single"/>
          <w:rtl/>
        </w:rPr>
        <w:t>מצג שווא</w:t>
      </w:r>
      <w:r w:rsidRPr="00C45D12">
        <w:rPr>
          <w:rFonts w:hint="cs"/>
          <w:b/>
          <w:bCs/>
          <w:rtl/>
        </w:rPr>
        <w:t xml:space="preserve"> שהיא עדיין בהריון כאשר הייתה כבר ימים ספורים לאחר הלידה. כך גם באירוע הברית פעלה האם </w:t>
      </w:r>
      <w:r w:rsidRPr="00C45D12">
        <w:rPr>
          <w:rFonts w:hint="cs"/>
          <w:b/>
          <w:bCs/>
          <w:u w:val="single"/>
          <w:rtl/>
        </w:rPr>
        <w:t>להסתיר</w:t>
      </w:r>
      <w:r w:rsidRPr="00C45D12">
        <w:rPr>
          <w:rFonts w:hint="cs"/>
          <w:b/>
          <w:bCs/>
          <w:rtl/>
        </w:rPr>
        <w:t xml:space="preserve"> מהמוהל את העובדה כי יש לתינוק אב ואף בחרה </w:t>
      </w:r>
      <w:r w:rsidRPr="00C45D12">
        <w:rPr>
          <w:rFonts w:hint="cs"/>
          <w:b/>
          <w:bCs/>
          <w:u w:val="single"/>
          <w:rtl/>
        </w:rPr>
        <w:t>שלא לרשום את שם האב</w:t>
      </w:r>
      <w:r w:rsidRPr="00C45D12">
        <w:rPr>
          <w:rFonts w:hint="cs"/>
          <w:b/>
          <w:bCs/>
          <w:rtl/>
        </w:rPr>
        <w:t xml:space="preserve"> עת נולד הקטין על מנת שלא יוודע לאב דבר הלידה.</w:t>
      </w:r>
    </w:p>
    <w:p w:rsidR="00F45DA5" w:rsidRPr="00743795" w:rsidRDefault="00F45DA5" w:rsidP="00C437F0">
      <w:pPr>
        <w:pStyle w:val="ad"/>
        <w:numPr>
          <w:ilvl w:val="0"/>
          <w:numId w:val="1"/>
        </w:numPr>
        <w:spacing w:after="120" w:line="360" w:lineRule="auto"/>
        <w:ind w:left="368"/>
        <w:contextualSpacing w:val="0"/>
        <w:rPr>
          <w:rtl/>
        </w:rPr>
      </w:pPr>
      <w:r w:rsidRPr="00740D0A">
        <w:rPr>
          <w:rFonts w:hint="cs"/>
          <w:u w:val="single"/>
          <w:rtl/>
        </w:rPr>
        <w:t xml:space="preserve">רק ביום </w:t>
      </w:r>
      <w:r w:rsidR="00C437F0">
        <w:rPr>
          <w:rFonts w:hint="cs"/>
          <w:u w:val="single"/>
          <w:rtl/>
        </w:rPr>
        <w:t xml:space="preserve">... </w:t>
      </w:r>
      <w:r w:rsidRPr="00740D0A">
        <w:rPr>
          <w:u w:val="single"/>
          <w:rtl/>
        </w:rPr>
        <w:t>–</w:t>
      </w:r>
      <w:r w:rsidRPr="00740D0A">
        <w:rPr>
          <w:rFonts w:hint="cs"/>
          <w:u w:val="single"/>
          <w:rtl/>
        </w:rPr>
        <w:t xml:space="preserve"> בחלוף יומיים מהברית</w:t>
      </w:r>
      <w:r w:rsidRPr="00743795">
        <w:rPr>
          <w:rFonts w:hint="cs"/>
          <w:rtl/>
        </w:rPr>
        <w:t>, קיבל ב"כ האב מכתב לקוני מב"כ האם</w:t>
      </w:r>
      <w:r>
        <w:rPr>
          <w:rFonts w:hint="cs"/>
          <w:rtl/>
        </w:rPr>
        <w:t>, נושא שורה אחת,</w:t>
      </w:r>
      <w:r w:rsidRPr="00743795">
        <w:rPr>
          <w:rFonts w:hint="cs"/>
          <w:rtl/>
        </w:rPr>
        <w:t xml:space="preserve"> </w:t>
      </w:r>
      <w:r>
        <w:rPr>
          <w:rFonts w:hint="cs"/>
          <w:rtl/>
        </w:rPr>
        <w:t>כהאי לישנא</w:t>
      </w:r>
      <w:r w:rsidRPr="00743795">
        <w:rPr>
          <w:rFonts w:hint="cs"/>
          <w:rtl/>
        </w:rPr>
        <w:t>:</w:t>
      </w:r>
      <w:r>
        <w:rPr>
          <w:rFonts w:hint="cs"/>
          <w:rtl/>
        </w:rPr>
        <w:t xml:space="preserve"> "</w:t>
      </w:r>
      <w:r w:rsidRPr="00740D0A">
        <w:rPr>
          <w:rFonts w:hint="cs"/>
          <w:b/>
          <w:bCs/>
          <w:rtl/>
        </w:rPr>
        <w:t xml:space="preserve">הריני להודיעך כי היום עם שובי לעבודה לאחר חופשת הפסח, בה שהיתי בחו"ל הודיעה לי מרשתי כי היא ילדה ביום </w:t>
      </w:r>
      <w:r w:rsidR="00C437F0">
        <w:rPr>
          <w:rFonts w:hint="cs"/>
          <w:b/>
          <w:bCs/>
          <w:rtl/>
        </w:rPr>
        <w:t>...</w:t>
      </w:r>
      <w:r w:rsidRPr="00740D0A">
        <w:rPr>
          <w:rFonts w:hint="cs"/>
          <w:b/>
          <w:bCs/>
          <w:rtl/>
        </w:rPr>
        <w:t xml:space="preserve"> בשעה טובה</w:t>
      </w:r>
      <w:r>
        <w:rPr>
          <w:rFonts w:hint="cs"/>
          <w:rtl/>
        </w:rPr>
        <w:t xml:space="preserve">". </w:t>
      </w:r>
    </w:p>
    <w:p w:rsidR="00F45DA5" w:rsidRPr="00743795" w:rsidRDefault="00F45DA5" w:rsidP="004A7FD2">
      <w:pPr>
        <w:pStyle w:val="ad"/>
        <w:spacing w:after="120" w:line="360" w:lineRule="auto"/>
        <w:ind w:left="368"/>
        <w:contextualSpacing w:val="0"/>
        <w:rPr>
          <w:rtl/>
        </w:rPr>
      </w:pPr>
      <w:r w:rsidRPr="00743795">
        <w:rPr>
          <w:rFonts w:hint="cs"/>
          <w:rtl/>
        </w:rPr>
        <w:t xml:space="preserve">כלומר גם הגילוי לאב לא נעשה ע"י האם ישירות לאב, אלא </w:t>
      </w:r>
      <w:r w:rsidRPr="00743795">
        <w:rPr>
          <w:rFonts w:hint="cs"/>
          <w:u w:val="single"/>
          <w:rtl/>
        </w:rPr>
        <w:t>ב"כ האם</w:t>
      </w:r>
      <w:r w:rsidRPr="00743795">
        <w:rPr>
          <w:rFonts w:hint="cs"/>
          <w:rtl/>
        </w:rPr>
        <w:t xml:space="preserve"> גילה זאת </w:t>
      </w:r>
      <w:r w:rsidRPr="00743795">
        <w:rPr>
          <w:rFonts w:hint="cs"/>
          <w:u w:val="single"/>
          <w:rtl/>
        </w:rPr>
        <w:t xml:space="preserve">לב"כ </w:t>
      </w:r>
      <w:r w:rsidRPr="000822C9">
        <w:rPr>
          <w:rFonts w:hint="cs"/>
          <w:u w:val="single"/>
          <w:rtl/>
        </w:rPr>
        <w:t>האב</w:t>
      </w:r>
      <w:r w:rsidRPr="000822C9">
        <w:rPr>
          <w:rFonts w:hint="cs"/>
          <w:rtl/>
        </w:rPr>
        <w:t>...</w:t>
      </w:r>
    </w:p>
    <w:p w:rsidR="00F45DA5" w:rsidRPr="00743795" w:rsidRDefault="00F45DA5" w:rsidP="004A7FD2">
      <w:pPr>
        <w:pStyle w:val="ad"/>
        <w:numPr>
          <w:ilvl w:val="0"/>
          <w:numId w:val="1"/>
        </w:numPr>
        <w:spacing w:after="120" w:line="360" w:lineRule="auto"/>
        <w:ind w:left="368"/>
        <w:contextualSpacing w:val="0"/>
      </w:pPr>
      <w:r w:rsidRPr="00743795">
        <w:rPr>
          <w:rFonts w:hint="cs"/>
          <w:b/>
          <w:bCs/>
          <w:rtl/>
        </w:rPr>
        <w:lastRenderedPageBreak/>
        <w:t xml:space="preserve">בימ"ש קמא בפסק דינו ובמסקנותיו, לא חוסך את שבט לשונו מהתנהגותה </w:t>
      </w:r>
      <w:r w:rsidRPr="00743795">
        <w:rPr>
          <w:rFonts w:hint="cs"/>
          <w:b/>
          <w:bCs/>
          <w:u w:val="single"/>
          <w:rtl/>
        </w:rPr>
        <w:t xml:space="preserve">הזדונית וחסרת תום הלב </w:t>
      </w:r>
      <w:r w:rsidRPr="00743795">
        <w:rPr>
          <w:rFonts w:hint="cs"/>
          <w:b/>
          <w:bCs/>
          <w:rtl/>
        </w:rPr>
        <w:t>של האם, תוך שהינו קובע פעם אחר פעם ובאופן חד-משמעי, כי האם הזיקה לאב במודע ובכוונת זדון, באופן אקטיבי ע"י תחבולה, מתוך כוונה שהנזק יקרה, תוך הצגת מצג שווא לאב ולמוהל ושיקרה להם, הכל בחוסר תום לב ותוך ניצול לרעה של הנסיבות</w:t>
      </w:r>
      <w:r w:rsidRPr="00743795">
        <w:rPr>
          <w:rFonts w:hint="cs"/>
          <w:rtl/>
        </w:rPr>
        <w:t xml:space="preserve">. עוד קבע בימ"ש, כי עדותה של האם בפניו </w:t>
      </w:r>
      <w:r w:rsidRPr="00743795">
        <w:rPr>
          <w:rFonts w:hint="cs"/>
          <w:b/>
          <w:bCs/>
          <w:rtl/>
        </w:rPr>
        <w:t>איננה אמינה</w:t>
      </w:r>
      <w:r w:rsidRPr="00743795">
        <w:rPr>
          <w:rFonts w:hint="cs"/>
          <w:rtl/>
        </w:rPr>
        <w:t>.</w:t>
      </w:r>
    </w:p>
    <w:p w:rsidR="00F45DA5" w:rsidRPr="00743795" w:rsidRDefault="00F45DA5" w:rsidP="004A7FD2">
      <w:pPr>
        <w:pStyle w:val="ad"/>
        <w:spacing w:after="120" w:line="360" w:lineRule="auto"/>
        <w:ind w:left="368"/>
        <w:contextualSpacing w:val="0"/>
        <w:rPr>
          <w:rFonts w:ascii="Aharoni" w:hAnsi="Aharoni" w:cs="Aharoni"/>
          <w:rtl/>
        </w:rPr>
      </w:pPr>
      <w:r w:rsidRPr="00743795">
        <w:rPr>
          <w:rFonts w:hint="cs"/>
          <w:rtl/>
        </w:rPr>
        <w:t xml:space="preserve">כאמור בימ"ש קמא לא חוסך את שבט לשונו מהאם לאורך כל פסה"ד, </w:t>
      </w:r>
      <w:r w:rsidRPr="00743795">
        <w:rPr>
          <w:rFonts w:hint="cs"/>
          <w:u w:val="single"/>
          <w:rtl/>
        </w:rPr>
        <w:t>כדוגמה</w:t>
      </w:r>
      <w:r w:rsidRPr="00743795">
        <w:rPr>
          <w:rFonts w:hint="cs"/>
          <w:rtl/>
        </w:rPr>
        <w:t xml:space="preserve"> בלבד אפנה </w:t>
      </w:r>
      <w:r w:rsidRPr="00743795">
        <w:rPr>
          <w:rFonts w:hint="cs"/>
          <w:u w:val="single"/>
          <w:rtl/>
        </w:rPr>
        <w:t>לשתיים</w:t>
      </w:r>
      <w:r w:rsidRPr="00743795">
        <w:rPr>
          <w:rFonts w:hint="cs"/>
          <w:rtl/>
        </w:rPr>
        <w:t xml:space="preserve"> מהתרשמויותיו וקביעותיו:</w:t>
      </w:r>
    </w:p>
    <w:p w:rsidR="00F45DA5" w:rsidRPr="00743795" w:rsidRDefault="00F45DA5" w:rsidP="004A7FD2">
      <w:pPr>
        <w:pStyle w:val="ad"/>
        <w:numPr>
          <w:ilvl w:val="0"/>
          <w:numId w:val="2"/>
        </w:numPr>
        <w:spacing w:after="120" w:line="360" w:lineRule="auto"/>
        <w:ind w:left="651" w:hanging="218"/>
        <w:contextualSpacing w:val="0"/>
      </w:pPr>
      <w:r w:rsidRPr="00743795">
        <w:rPr>
          <w:rFonts w:ascii="Aharoni" w:hAnsi="Aharoni" w:cs="Aharoni"/>
          <w:rtl/>
        </w:rPr>
        <w:t>"התרשמתי כי מקרה זה, בו הוסתרה מהאב לידת בנו במשך 10 ימים באופן מכוון, תוך הצגת מצג שווא בפניו, על מנת למנוע ממנו ליטול חלק בברית המילה של בנו</w:t>
      </w:r>
      <w:r w:rsidRPr="00743795">
        <w:rPr>
          <w:rFonts w:ascii="Aharoni" w:hAnsi="Aharoni" w:cs="Aharoni" w:hint="cs"/>
          <w:rtl/>
        </w:rPr>
        <w:t>,</w:t>
      </w:r>
      <w:r w:rsidRPr="00743795">
        <w:rPr>
          <w:rFonts w:ascii="Aharoni" w:hAnsi="Aharoni" w:cs="Aharoni"/>
          <w:rtl/>
        </w:rPr>
        <w:t xml:space="preserve"> היא התנהגות בלתי סבירה שעל בית המשפט לעמוד כנגדה. אין מדובר בסכסוך פעוט בין בני זוג לשעבר אלא בהתנהלות חריגה מאד ומכוונת מצד האם אשר גרמה לאב נזק, אשר יפורט בהמשך, שלא ניתן לריפוי." </w:t>
      </w:r>
      <w:r w:rsidRPr="00743795">
        <w:rPr>
          <w:sz w:val="20"/>
          <w:szCs w:val="20"/>
          <w:rtl/>
        </w:rPr>
        <w:t>[סע' 305</w:t>
      </w:r>
      <w:r w:rsidRPr="00743795">
        <w:rPr>
          <w:rFonts w:hint="cs"/>
          <w:sz w:val="20"/>
          <w:szCs w:val="20"/>
          <w:rtl/>
        </w:rPr>
        <w:t xml:space="preserve"> לפסה"ד</w:t>
      </w:r>
      <w:r w:rsidRPr="00743795">
        <w:rPr>
          <w:sz w:val="20"/>
          <w:szCs w:val="20"/>
          <w:rtl/>
        </w:rPr>
        <w:t>]</w:t>
      </w:r>
      <w:r w:rsidRPr="00743795">
        <w:rPr>
          <w:rFonts w:hint="cs"/>
          <w:rtl/>
        </w:rPr>
        <w:t xml:space="preserve">; </w:t>
      </w:r>
    </w:p>
    <w:p w:rsidR="00F45DA5" w:rsidRPr="00743795" w:rsidRDefault="00F45DA5" w:rsidP="004A7FD2">
      <w:pPr>
        <w:pStyle w:val="ad"/>
        <w:numPr>
          <w:ilvl w:val="0"/>
          <w:numId w:val="2"/>
        </w:numPr>
        <w:spacing w:after="120" w:line="360" w:lineRule="auto"/>
        <w:ind w:left="651" w:hanging="218"/>
        <w:contextualSpacing w:val="0"/>
      </w:pPr>
      <w:r>
        <w:rPr>
          <w:rFonts w:ascii="Aharoni" w:hAnsi="Aharoni" w:cs="Aharoni" w:hint="cs"/>
          <w:rtl/>
        </w:rPr>
        <w:t>"</w:t>
      </w:r>
      <w:r w:rsidRPr="00743795">
        <w:rPr>
          <w:rFonts w:ascii="Aharoni" w:hAnsi="Aharoni" w:cs="Aharoni"/>
          <w:rtl/>
        </w:rPr>
        <w:t>האם התנהגה בזדון, בחרה במודע להסתיר את לידת בנו של האב, הציגה לו מצג שווא שהיא בהיריון כאשר כבר הייתה ימים ספורים לאחר הלידה, וכל זאת ללא טעם מבורר. בנוסף, התרשמתי מחקירתו של המוהל כי האם הסתירה מהמוהל את העובדה כי יש לתינוק אב ובחרה לא לרשום את שם אביו של הקטין עת נולד כדי שלא ייוודע לאב על דבר הלידה</w:t>
      </w:r>
      <w:r>
        <w:rPr>
          <w:rFonts w:ascii="Aharoni" w:hAnsi="Aharoni" w:cs="Aharoni" w:hint="cs"/>
          <w:rtl/>
        </w:rPr>
        <w:t>"</w:t>
      </w:r>
      <w:r w:rsidRPr="00743795">
        <w:rPr>
          <w:rFonts w:ascii="Aharoni" w:hAnsi="Aharoni" w:cs="Aharoni"/>
          <w:rtl/>
        </w:rPr>
        <w:t>.</w:t>
      </w:r>
      <w:r>
        <w:rPr>
          <w:rFonts w:hint="cs"/>
          <w:rtl/>
        </w:rPr>
        <w:t xml:space="preserve"> </w:t>
      </w:r>
      <w:r w:rsidRPr="00743795">
        <w:rPr>
          <w:sz w:val="20"/>
          <w:szCs w:val="20"/>
          <w:rtl/>
        </w:rPr>
        <w:t xml:space="preserve">[סע' </w:t>
      </w:r>
      <w:r>
        <w:rPr>
          <w:rFonts w:hint="cs"/>
          <w:sz w:val="20"/>
          <w:szCs w:val="20"/>
          <w:rtl/>
        </w:rPr>
        <w:t>204</w:t>
      </w:r>
      <w:r w:rsidRPr="00743795">
        <w:rPr>
          <w:rFonts w:hint="cs"/>
          <w:sz w:val="20"/>
          <w:szCs w:val="20"/>
          <w:rtl/>
        </w:rPr>
        <w:t xml:space="preserve"> לפסה"ד</w:t>
      </w:r>
      <w:r w:rsidRPr="00743795">
        <w:rPr>
          <w:sz w:val="20"/>
          <w:szCs w:val="20"/>
          <w:rtl/>
        </w:rPr>
        <w:t>]</w:t>
      </w:r>
      <w:r w:rsidR="004A7FD2">
        <w:rPr>
          <w:rFonts w:hint="cs"/>
          <w:rtl/>
        </w:rPr>
        <w:t>.</w:t>
      </w:r>
    </w:p>
    <w:p w:rsidR="00F45DA5" w:rsidRPr="00743795" w:rsidRDefault="00F45DA5" w:rsidP="004A7FD2">
      <w:pPr>
        <w:pStyle w:val="ad"/>
        <w:spacing w:after="120" w:line="360" w:lineRule="auto"/>
        <w:ind w:left="567" w:hanging="226"/>
        <w:contextualSpacing w:val="0"/>
      </w:pPr>
      <w:r w:rsidRPr="00743795">
        <w:rPr>
          <w:rFonts w:hint="cs"/>
          <w:rtl/>
        </w:rPr>
        <w:t>וראו עוד בסעיפים 267-275,304-313 לפסה"ד.</w:t>
      </w:r>
    </w:p>
    <w:p w:rsidR="00F45DA5" w:rsidRPr="00743795" w:rsidRDefault="00F45DA5" w:rsidP="004A7FD2">
      <w:pPr>
        <w:pStyle w:val="ad"/>
        <w:numPr>
          <w:ilvl w:val="0"/>
          <w:numId w:val="1"/>
        </w:numPr>
        <w:spacing w:after="120" w:line="360" w:lineRule="auto"/>
        <w:ind w:left="368"/>
        <w:contextualSpacing w:val="0"/>
      </w:pPr>
      <w:r w:rsidRPr="00743795">
        <w:rPr>
          <w:rFonts w:hint="cs"/>
          <w:rtl/>
        </w:rPr>
        <w:t>כאמור, לא מצא</w:t>
      </w:r>
      <w:r>
        <w:rPr>
          <w:rFonts w:hint="cs"/>
          <w:rtl/>
        </w:rPr>
        <w:t>תי</w:t>
      </w:r>
      <w:r w:rsidRPr="00743795">
        <w:rPr>
          <w:rFonts w:hint="cs"/>
          <w:rtl/>
        </w:rPr>
        <w:t xml:space="preserve"> להתערב באף לא אחת מקביעותיו של בימ"ש קמא ובממצאיו </w:t>
      </w:r>
      <w:r>
        <w:rPr>
          <w:rFonts w:hint="cs"/>
          <w:b/>
          <w:bCs/>
          <w:rtl/>
        </w:rPr>
        <w:t>ואמליץ לחבריי לאמץ</w:t>
      </w:r>
      <w:r w:rsidRPr="00C45D12">
        <w:rPr>
          <w:rFonts w:hint="cs"/>
          <w:b/>
          <w:bCs/>
          <w:rtl/>
        </w:rPr>
        <w:t xml:space="preserve"> במלואם את כל ממצאי העובדה והמהימנות כפי שנקבעו בפסה"ד.</w:t>
      </w:r>
    </w:p>
    <w:p w:rsidR="00F45DA5" w:rsidRPr="00743795" w:rsidRDefault="00F45DA5" w:rsidP="004A7FD2">
      <w:pPr>
        <w:pStyle w:val="ad"/>
        <w:numPr>
          <w:ilvl w:val="0"/>
          <w:numId w:val="1"/>
        </w:numPr>
        <w:spacing w:after="120" w:line="360" w:lineRule="auto"/>
        <w:ind w:left="368"/>
        <w:contextualSpacing w:val="0"/>
      </w:pPr>
      <w:r w:rsidRPr="00743795">
        <w:rPr>
          <w:rFonts w:hint="cs"/>
          <w:rtl/>
        </w:rPr>
        <w:t xml:space="preserve">מכאן עבר בימ"ש קמא לקבוע את שיעור הפיצוי לו זכאי האב מהאם, תוך שלאור חריגות המקרה, ובאין פסיקה </w:t>
      </w:r>
      <w:r w:rsidRPr="00743795">
        <w:rPr>
          <w:rtl/>
        </w:rPr>
        <w:t>העוסקת בפיצוי במקרה דומה</w:t>
      </w:r>
      <w:r w:rsidRPr="00743795">
        <w:rPr>
          <w:rFonts w:hint="cs"/>
          <w:rtl/>
        </w:rPr>
        <w:t xml:space="preserve">, והואיל ולא עסקינן בנזק ממוני שנגרם לאב, החליט ביהמ"ש לפסוק </w:t>
      </w:r>
      <w:r w:rsidRPr="00743795">
        <w:rPr>
          <w:rFonts w:hint="cs"/>
          <w:b/>
          <w:bCs/>
          <w:rtl/>
        </w:rPr>
        <w:t>פיצוי גלובלי על דרך האומדנא</w:t>
      </w:r>
      <w:r w:rsidRPr="00743795">
        <w:rPr>
          <w:rFonts w:hint="cs"/>
          <w:rtl/>
        </w:rPr>
        <w:t xml:space="preserve"> ו</w:t>
      </w:r>
      <w:r w:rsidRPr="00743795">
        <w:rPr>
          <w:rtl/>
        </w:rPr>
        <w:t>לגזור את גובה הפיצוי לפי חוק איסור לשון הרע, תשכ"ה-1965</w:t>
      </w:r>
      <w:r w:rsidRPr="00743795">
        <w:rPr>
          <w:rFonts w:hint="cs"/>
          <w:rtl/>
        </w:rPr>
        <w:t>,</w:t>
      </w:r>
      <w:r w:rsidRPr="00743795">
        <w:rPr>
          <w:rtl/>
        </w:rPr>
        <w:t xml:space="preserve"> המאפשר </w:t>
      </w:r>
      <w:r w:rsidRPr="00743795">
        <w:rPr>
          <w:rFonts w:hint="cs"/>
          <w:rtl/>
        </w:rPr>
        <w:t xml:space="preserve">לערכאה הדיונית </w:t>
      </w:r>
      <w:r w:rsidRPr="00743795">
        <w:rPr>
          <w:rtl/>
        </w:rPr>
        <w:t>להטיל על הפוגע לשלם לנפגע פיצוי</w:t>
      </w:r>
      <w:r w:rsidRPr="00743795">
        <w:rPr>
          <w:rFonts w:hint="cs"/>
          <w:rtl/>
        </w:rPr>
        <w:t xml:space="preserve"> ללא הוכחת נזק של</w:t>
      </w:r>
      <w:r w:rsidRPr="00743795">
        <w:rPr>
          <w:rtl/>
        </w:rPr>
        <w:t xml:space="preserve"> </w:t>
      </w:r>
      <w:r w:rsidRPr="00743795">
        <w:rPr>
          <w:rFonts w:hint="cs"/>
          <w:b/>
          <w:bCs/>
          <w:u w:val="single"/>
          <w:rtl/>
        </w:rPr>
        <w:t>עד</w:t>
      </w:r>
      <w:r w:rsidRPr="00743795">
        <w:rPr>
          <w:rFonts w:hint="cs"/>
          <w:b/>
          <w:bCs/>
          <w:rtl/>
        </w:rPr>
        <w:t xml:space="preserve"> </w:t>
      </w:r>
      <w:r w:rsidRPr="00743795">
        <w:rPr>
          <w:b/>
          <w:bCs/>
          <w:rtl/>
        </w:rPr>
        <w:t>50,000</w:t>
      </w:r>
      <w:r w:rsidRPr="00743795">
        <w:rPr>
          <w:rtl/>
        </w:rPr>
        <w:t xml:space="preserve"> ₪ </w:t>
      </w:r>
      <w:r w:rsidRPr="00743795">
        <w:rPr>
          <w:rFonts w:hint="cs"/>
          <w:sz w:val="20"/>
          <w:szCs w:val="20"/>
          <w:rtl/>
        </w:rPr>
        <w:t xml:space="preserve">(סעיף </w:t>
      </w:r>
      <w:r w:rsidRPr="00743795">
        <w:rPr>
          <w:sz w:val="20"/>
          <w:szCs w:val="20"/>
          <w:rtl/>
        </w:rPr>
        <w:t>7א(ב)</w:t>
      </w:r>
      <w:r w:rsidRPr="00743795">
        <w:rPr>
          <w:rFonts w:hint="cs"/>
          <w:sz w:val="20"/>
          <w:szCs w:val="20"/>
          <w:rtl/>
        </w:rPr>
        <w:t xml:space="preserve"> לחוק)</w:t>
      </w:r>
      <w:r w:rsidRPr="00743795">
        <w:rPr>
          <w:rFonts w:hint="cs"/>
          <w:rtl/>
        </w:rPr>
        <w:t xml:space="preserve">, </w:t>
      </w:r>
      <w:r w:rsidRPr="00743795">
        <w:rPr>
          <w:rFonts w:hint="cs"/>
          <w:b/>
          <w:bCs/>
          <w:rtl/>
        </w:rPr>
        <w:t>ופיצוי כפול</w:t>
      </w:r>
      <w:r w:rsidRPr="00743795">
        <w:rPr>
          <w:rFonts w:hint="cs"/>
          <w:rtl/>
        </w:rPr>
        <w:t xml:space="preserve"> כ</w:t>
      </w:r>
      <w:r w:rsidRPr="00743795">
        <w:rPr>
          <w:rtl/>
        </w:rPr>
        <w:t>אשר מוכחת כוונת זדון</w:t>
      </w:r>
      <w:r w:rsidRPr="00743795">
        <w:rPr>
          <w:rFonts w:hint="cs"/>
          <w:rtl/>
        </w:rPr>
        <w:t xml:space="preserve"> </w:t>
      </w:r>
      <w:r w:rsidRPr="00743795">
        <w:rPr>
          <w:rFonts w:hint="cs"/>
          <w:sz w:val="20"/>
          <w:szCs w:val="20"/>
          <w:rtl/>
        </w:rPr>
        <w:t>(</w:t>
      </w:r>
      <w:r w:rsidRPr="00743795">
        <w:rPr>
          <w:sz w:val="20"/>
          <w:szCs w:val="20"/>
          <w:rtl/>
        </w:rPr>
        <w:t>סעיף 7א(ג) לחוק</w:t>
      </w:r>
      <w:r w:rsidRPr="00743795">
        <w:rPr>
          <w:rFonts w:hint="cs"/>
          <w:sz w:val="20"/>
          <w:szCs w:val="20"/>
          <w:rtl/>
        </w:rPr>
        <w:t>)</w:t>
      </w:r>
      <w:r w:rsidRPr="00743795">
        <w:rPr>
          <w:rtl/>
        </w:rPr>
        <w:t>.</w:t>
      </w:r>
    </w:p>
    <w:p w:rsidR="00F45DA5" w:rsidRPr="00743795" w:rsidRDefault="00F45DA5" w:rsidP="004A7FD2">
      <w:pPr>
        <w:pStyle w:val="ad"/>
        <w:spacing w:after="120" w:line="360" w:lineRule="auto"/>
        <w:ind w:left="368"/>
        <w:contextualSpacing w:val="0"/>
      </w:pPr>
      <w:r w:rsidRPr="00743795">
        <w:rPr>
          <w:rFonts w:hint="cs"/>
          <w:rtl/>
        </w:rPr>
        <w:t xml:space="preserve">לאחר כל הדברים האלה עובר בימ"ש קמא לפסוק את גובה </w:t>
      </w:r>
      <w:r w:rsidRPr="00743795">
        <w:rPr>
          <w:rFonts w:hint="cs"/>
          <w:b/>
          <w:bCs/>
          <w:rtl/>
        </w:rPr>
        <w:t xml:space="preserve">הפיצוי הגלובלי </w:t>
      </w:r>
      <w:r w:rsidRPr="00743795">
        <w:rPr>
          <w:rFonts w:hint="cs"/>
          <w:b/>
          <w:bCs/>
          <w:u w:val="single"/>
          <w:rtl/>
        </w:rPr>
        <w:t>לפי שיקול דעתו</w:t>
      </w:r>
      <w:r w:rsidRPr="00743795">
        <w:rPr>
          <w:rFonts w:hint="cs"/>
          <w:rtl/>
        </w:rPr>
        <w:t xml:space="preserve"> כדלקמן:</w:t>
      </w:r>
    </w:p>
    <w:p w:rsidR="00F45DA5" w:rsidRPr="00743795" w:rsidRDefault="00F45DA5" w:rsidP="004A7FD2">
      <w:pPr>
        <w:pStyle w:val="ad"/>
        <w:spacing w:after="120" w:line="360" w:lineRule="auto"/>
        <w:ind w:left="368"/>
        <w:contextualSpacing w:val="0"/>
        <w:rPr>
          <w:rFonts w:ascii="Aharoni" w:hAnsi="Aharoni" w:cs="Aharoni"/>
          <w:sz w:val="20"/>
          <w:szCs w:val="20"/>
          <w:rtl/>
        </w:rPr>
      </w:pPr>
      <w:r w:rsidRPr="00743795">
        <w:rPr>
          <w:rFonts w:ascii="Aharoni" w:hAnsi="Aharoni" w:cs="Aharoni" w:hint="cs"/>
          <w:rtl/>
        </w:rPr>
        <w:t xml:space="preserve">"בנסיבות אלה, בהן מדובר בצדדים שנשארים הורים לשני ילדיהם, התרשמתי כי יש להעמיד את גובה הפיצוי שעל האם לשלם לאב על הצד המתון." </w:t>
      </w:r>
      <w:r w:rsidRPr="00743795">
        <w:rPr>
          <w:sz w:val="20"/>
          <w:szCs w:val="20"/>
          <w:rtl/>
        </w:rPr>
        <w:t>[סע' 31</w:t>
      </w:r>
      <w:r w:rsidRPr="00743795">
        <w:rPr>
          <w:rFonts w:hint="cs"/>
          <w:sz w:val="20"/>
          <w:szCs w:val="20"/>
          <w:rtl/>
        </w:rPr>
        <w:t>2</w:t>
      </w:r>
      <w:r w:rsidRPr="00743795">
        <w:rPr>
          <w:sz w:val="20"/>
          <w:szCs w:val="20"/>
          <w:rtl/>
        </w:rPr>
        <w:t>]</w:t>
      </w:r>
    </w:p>
    <w:p w:rsidR="00F45DA5" w:rsidRPr="00743795" w:rsidRDefault="00F45DA5" w:rsidP="004A7FD2">
      <w:pPr>
        <w:pStyle w:val="ad"/>
        <w:spacing w:after="120" w:line="360" w:lineRule="auto"/>
        <w:ind w:left="368"/>
        <w:contextualSpacing w:val="0"/>
        <w:rPr>
          <w:b/>
          <w:bCs/>
        </w:rPr>
      </w:pPr>
      <w:r w:rsidRPr="00743795">
        <w:rPr>
          <w:rFonts w:ascii="Aharoni" w:hAnsi="Aharoni" w:cs="Aharoni"/>
          <w:rtl/>
        </w:rPr>
        <w:t>"התרשמתי כי בנסיבות תיק זה, יש להעמיד את גובה הפיצוי שעל האם לשלם לאב בגין פגיעתה הנ"ל בו ע"ס מתון של 35,000 ₪."</w:t>
      </w:r>
      <w:r w:rsidRPr="00743795">
        <w:rPr>
          <w:rFonts w:ascii="Aharoni" w:hAnsi="Aharoni" w:cs="Aharoni" w:hint="cs"/>
          <w:rtl/>
        </w:rPr>
        <w:t xml:space="preserve"> </w:t>
      </w:r>
      <w:r w:rsidRPr="00743795">
        <w:rPr>
          <w:sz w:val="20"/>
          <w:szCs w:val="20"/>
          <w:rtl/>
        </w:rPr>
        <w:t>[סע' 314]</w:t>
      </w:r>
      <w:r>
        <w:rPr>
          <w:rFonts w:ascii="Aharoni" w:hAnsi="Aharoni" w:cs="Aharoni" w:hint="cs"/>
          <w:sz w:val="20"/>
          <w:szCs w:val="20"/>
          <w:rtl/>
        </w:rPr>
        <w:t>.</w:t>
      </w:r>
    </w:p>
    <w:p w:rsidR="00F45DA5" w:rsidRPr="00743795" w:rsidRDefault="00F45DA5" w:rsidP="004A7FD2">
      <w:pPr>
        <w:pStyle w:val="ad"/>
        <w:numPr>
          <w:ilvl w:val="0"/>
          <w:numId w:val="1"/>
        </w:numPr>
        <w:spacing w:after="120" w:line="360" w:lineRule="auto"/>
        <w:ind w:left="368"/>
        <w:contextualSpacing w:val="0"/>
        <w:rPr>
          <w:b/>
          <w:bCs/>
          <w:sz w:val="26"/>
          <w:szCs w:val="26"/>
        </w:rPr>
      </w:pPr>
      <w:r w:rsidRPr="00743795">
        <w:rPr>
          <w:rFonts w:hint="cs"/>
          <w:u w:val="single"/>
          <w:rtl/>
        </w:rPr>
        <w:t>לטענת האב המערער</w:t>
      </w:r>
      <w:r w:rsidRPr="00743795">
        <w:rPr>
          <w:rFonts w:hint="cs"/>
          <w:rtl/>
        </w:rPr>
        <w:t xml:space="preserve">, קיים פער רטורי עצום, בין נסיבות המקרה </w:t>
      </w:r>
      <w:r w:rsidRPr="00743795">
        <w:rPr>
          <w:rFonts w:hint="cs"/>
          <w:b/>
          <w:bCs/>
          <w:rtl/>
        </w:rPr>
        <w:t>החמורות</w:t>
      </w:r>
      <w:r w:rsidRPr="00743795">
        <w:rPr>
          <w:rFonts w:hint="cs"/>
          <w:rtl/>
        </w:rPr>
        <w:t xml:space="preserve"> כפי שבימ"ש קמא עצמו תיאר אותם בפסק דינו, לבין סכום הפיצוי </w:t>
      </w:r>
      <w:r w:rsidRPr="00743795">
        <w:rPr>
          <w:rFonts w:hint="cs"/>
          <w:b/>
          <w:bCs/>
          <w:rtl/>
        </w:rPr>
        <w:t>הנמוך</w:t>
      </w:r>
      <w:r w:rsidRPr="00743795">
        <w:rPr>
          <w:rFonts w:hint="cs"/>
          <w:rtl/>
        </w:rPr>
        <w:t xml:space="preserve"> שנפסק בסופו של יום </w:t>
      </w:r>
      <w:r w:rsidRPr="00743795">
        <w:rPr>
          <w:rtl/>
        </w:rPr>
        <w:t>–</w:t>
      </w:r>
      <w:r w:rsidRPr="00743795">
        <w:rPr>
          <w:rFonts w:hint="cs"/>
          <w:rtl/>
        </w:rPr>
        <w:t xml:space="preserve"> 35,000 ₪ בלבד, ועל כן שומה על ערכאת הערעור להתערב.</w:t>
      </w:r>
    </w:p>
    <w:p w:rsidR="00F45DA5" w:rsidRDefault="00F45DA5" w:rsidP="004A7FD2">
      <w:pPr>
        <w:pStyle w:val="ad"/>
        <w:spacing w:after="120" w:line="360" w:lineRule="auto"/>
        <w:ind w:left="368"/>
        <w:contextualSpacing w:val="0"/>
        <w:rPr>
          <w:rtl/>
        </w:rPr>
      </w:pPr>
      <w:r w:rsidRPr="00743795">
        <w:rPr>
          <w:rFonts w:hint="cs"/>
          <w:u w:val="single"/>
          <w:rtl/>
        </w:rPr>
        <w:lastRenderedPageBreak/>
        <w:t>לטענת האם המשיבה</w:t>
      </w:r>
      <w:r w:rsidRPr="00743795">
        <w:rPr>
          <w:rFonts w:hint="cs"/>
          <w:rtl/>
        </w:rPr>
        <w:t>, הואיל ובסופו של יום מדובר בפיצויים על נזק לא ממוני, שנפסקו על דרך האומדנא, נטיית ערכאת הערעור עפ"י ההלכה הפסוקה הינה שלא להתערב ולא להמיר את הערכת בימ"ש קמא בהערכת ערכאת הערעור אלא במקרים בהם סכום הפיצוי הינו בלתי סביר ורחוק מהמציאות ובנידונינו סכום הפיצוי איננו חורג ממתחם הסבירות.</w:t>
      </w:r>
    </w:p>
    <w:p w:rsidR="00F45DA5" w:rsidRDefault="00F45DA5" w:rsidP="004A7FD2">
      <w:pPr>
        <w:spacing w:after="120" w:line="360" w:lineRule="auto"/>
        <w:jc w:val="both"/>
        <w:rPr>
          <w:b/>
          <w:bCs/>
          <w:u w:val="single"/>
          <w:rtl/>
        </w:rPr>
      </w:pPr>
    </w:p>
    <w:p w:rsidR="00F45DA5" w:rsidRPr="00743795" w:rsidRDefault="00F45DA5" w:rsidP="004A7FD2">
      <w:pPr>
        <w:spacing w:after="120" w:line="360" w:lineRule="auto"/>
        <w:jc w:val="both"/>
        <w:rPr>
          <w:rtl/>
        </w:rPr>
      </w:pPr>
      <w:r w:rsidRPr="00743795">
        <w:rPr>
          <w:rFonts w:hint="cs"/>
          <w:b/>
          <w:bCs/>
          <w:u w:val="single"/>
          <w:rtl/>
        </w:rPr>
        <w:t>ההלכה בדבר התערבות ערכאת הערעור בסכום פיצוי גלובלי שניתן על דרך האומדנא</w:t>
      </w:r>
    </w:p>
    <w:p w:rsidR="00F45DA5" w:rsidRPr="009D6169" w:rsidRDefault="00F45DA5" w:rsidP="004A7FD2">
      <w:pPr>
        <w:pStyle w:val="ad"/>
        <w:numPr>
          <w:ilvl w:val="0"/>
          <w:numId w:val="1"/>
        </w:numPr>
        <w:spacing w:after="120" w:line="360" w:lineRule="auto"/>
        <w:ind w:left="368"/>
        <w:contextualSpacing w:val="0"/>
      </w:pPr>
      <w:r w:rsidRPr="00743795">
        <w:rPr>
          <w:rFonts w:hint="cs"/>
          <w:rtl/>
        </w:rPr>
        <w:t xml:space="preserve">הלכה פסוקה היא, כי לא בנקל יתערב בית המשפט שלערעור בהערכת הנזק של הערכאה הראשונה, </w:t>
      </w:r>
      <w:r w:rsidRPr="00743795">
        <w:rPr>
          <w:rFonts w:hint="cs"/>
          <w:b/>
          <w:bCs/>
          <w:rtl/>
        </w:rPr>
        <w:t>לא כל שכן כאשר אלה נקבעים בדרך של אומדנא והערכה גלובלית</w:t>
      </w:r>
      <w:r w:rsidRPr="00743795">
        <w:rPr>
          <w:rFonts w:hint="cs"/>
          <w:rtl/>
        </w:rPr>
        <w:t xml:space="preserve"> (ראה ע"א 547/</w:t>
      </w:r>
      <w:r w:rsidRPr="009D6169">
        <w:rPr>
          <w:rFonts w:hint="cs"/>
          <w:rtl/>
        </w:rPr>
        <w:t>85</w:t>
      </w:r>
      <w:r w:rsidRPr="009D6169">
        <w:rPr>
          <w:rFonts w:hint="cs"/>
          <w:b/>
          <w:bCs/>
          <w:rtl/>
        </w:rPr>
        <w:t xml:space="preserve"> קרן נ' חברת הר חברון</w:t>
      </w:r>
      <w:r w:rsidRPr="009D6169">
        <w:rPr>
          <w:rFonts w:hint="cs"/>
          <w:rtl/>
        </w:rPr>
        <w:t>).</w:t>
      </w:r>
    </w:p>
    <w:p w:rsidR="00F45DA5" w:rsidRPr="00743795" w:rsidRDefault="00F45DA5" w:rsidP="004A7FD2">
      <w:pPr>
        <w:pStyle w:val="ad"/>
        <w:spacing w:after="120" w:line="360" w:lineRule="auto"/>
        <w:ind w:left="368"/>
        <w:contextualSpacing w:val="0"/>
        <w:rPr>
          <w:rtl/>
        </w:rPr>
      </w:pPr>
      <w:r w:rsidRPr="00C45D12">
        <w:rPr>
          <w:rFonts w:hint="cs"/>
          <w:u w:val="single"/>
          <w:rtl/>
        </w:rPr>
        <w:t>ברם בצד האמור נקבע כי</w:t>
      </w:r>
      <w:r w:rsidRPr="00743795">
        <w:rPr>
          <w:rFonts w:hint="cs"/>
          <w:rtl/>
        </w:rPr>
        <w:t>:</w:t>
      </w:r>
      <w:r w:rsidRPr="00743795">
        <w:rPr>
          <w:color w:val="FFFFFF"/>
          <w:sz w:val="4"/>
          <w:szCs w:val="4"/>
          <w:rtl/>
        </w:rPr>
        <w:t>ב</w:t>
      </w:r>
    </w:p>
    <w:p w:rsidR="00F45DA5" w:rsidRPr="009D6169" w:rsidRDefault="00F45DA5" w:rsidP="004A7FD2">
      <w:pPr>
        <w:suppressLineNumbers/>
        <w:spacing w:after="120" w:line="360" w:lineRule="auto"/>
        <w:ind w:left="368"/>
        <w:jc w:val="both"/>
        <w:rPr>
          <w:rtl/>
        </w:rPr>
      </w:pPr>
      <w:r w:rsidRPr="00743795">
        <w:rPr>
          <w:rFonts w:ascii="Narkisim" w:hAnsi="Narkisim" w:cs="Narkisim"/>
          <w:rtl/>
        </w:rPr>
        <w:t xml:space="preserve">"גם בפסיקה לפי השיטה הגלובלית, אין בפסיקת 'סכום גלובלי' מלות קסם ואין המדובר בסכום כלשהו, אלא בסכום המבוסס על הנתונים שהוכחו, כגון מקצועו וכושרו של הנפגע והשכר שהשתכר ומשתכר או שעשוי להשתכר, גילו, כושר </w:t>
      </w:r>
      <w:r w:rsidRPr="009D6169">
        <w:rPr>
          <w:rFonts w:ascii="Narkisim" w:hAnsi="Narkisim" w:cs="Narkisim"/>
          <w:rtl/>
        </w:rPr>
        <w:t xml:space="preserve">התאמתו למקצוע אחר וגובה השכר שהוא עלול להשתכר </w:t>
      </w:r>
      <w:r w:rsidRPr="009D6169">
        <w:rPr>
          <w:rFonts w:ascii="Narkisim" w:hAnsi="Narkisim" w:cs="Narkisim" w:hint="cs"/>
          <w:rtl/>
        </w:rPr>
        <w:t>בו ועוד</w:t>
      </w:r>
      <w:r w:rsidRPr="009D6169">
        <w:rPr>
          <w:rFonts w:hint="cs"/>
          <w:b/>
          <w:bCs/>
          <w:rtl/>
        </w:rPr>
        <w:t xml:space="preserve">" </w:t>
      </w:r>
      <w:r w:rsidRPr="009D6169">
        <w:rPr>
          <w:rFonts w:hint="cs"/>
          <w:rtl/>
        </w:rPr>
        <w:t>(ע"א 571/78</w:t>
      </w:r>
      <w:r w:rsidRPr="009D6169">
        <w:rPr>
          <w:rFonts w:hint="cs"/>
          <w:b/>
          <w:bCs/>
          <w:rtl/>
        </w:rPr>
        <w:t xml:space="preserve"> אבו-קרט נ' וינר את טיקו</w:t>
      </w:r>
      <w:r w:rsidRPr="009D6169">
        <w:rPr>
          <w:rFonts w:hint="cs"/>
          <w:rtl/>
        </w:rPr>
        <w:t>).</w:t>
      </w:r>
    </w:p>
    <w:p w:rsidR="00F45DA5" w:rsidRPr="00743795" w:rsidRDefault="00F45DA5" w:rsidP="004A7FD2">
      <w:pPr>
        <w:suppressLineNumbers/>
        <w:spacing w:after="120" w:line="360" w:lineRule="auto"/>
        <w:ind w:left="368" w:hanging="426"/>
        <w:jc w:val="both"/>
        <w:rPr>
          <w:rtl/>
        </w:rPr>
      </w:pPr>
      <w:r w:rsidRPr="00743795">
        <w:rPr>
          <w:rFonts w:hint="cs"/>
          <w:rtl/>
        </w:rPr>
        <w:t> </w:t>
      </w:r>
      <w:r w:rsidRPr="00743795">
        <w:rPr>
          <w:rtl/>
        </w:rPr>
        <w:tab/>
      </w:r>
      <w:r w:rsidRPr="00C45D12">
        <w:rPr>
          <w:rFonts w:hint="cs"/>
          <w:u w:val="single"/>
          <w:rtl/>
        </w:rPr>
        <w:t>עוד נקבע כי</w:t>
      </w:r>
      <w:r>
        <w:rPr>
          <w:rFonts w:hint="cs"/>
          <w:rtl/>
        </w:rPr>
        <w:t>:</w:t>
      </w:r>
      <w:r w:rsidRPr="00743795">
        <w:rPr>
          <w:rFonts w:hint="cs"/>
          <w:rtl/>
        </w:rPr>
        <w:t xml:space="preserve">  </w:t>
      </w:r>
    </w:p>
    <w:p w:rsidR="00F45DA5" w:rsidRPr="00743795" w:rsidRDefault="00F45DA5" w:rsidP="004A7FD2">
      <w:pPr>
        <w:suppressLineNumbers/>
        <w:spacing w:after="120" w:line="360" w:lineRule="auto"/>
        <w:ind w:left="368"/>
        <w:jc w:val="both"/>
        <w:rPr>
          <w:b/>
          <w:bCs/>
          <w:rtl/>
        </w:rPr>
      </w:pPr>
      <w:r w:rsidRPr="00743795">
        <w:rPr>
          <w:rFonts w:ascii="Narkisim" w:hAnsi="Narkisim" w:cs="Narkisim"/>
          <w:rtl/>
        </w:rPr>
        <w:t>"</w:t>
      </w:r>
      <w:r w:rsidRPr="00743795">
        <w:rPr>
          <w:rFonts w:ascii="Narkisim" w:hAnsi="Narkisim" w:cs="Narkisim"/>
        </w:rPr>
        <w:t>…</w:t>
      </w:r>
      <w:r w:rsidRPr="00743795">
        <w:rPr>
          <w:rFonts w:ascii="Narkisim" w:hAnsi="Narkisim" w:cs="Narkisim"/>
          <w:rtl/>
        </w:rPr>
        <w:t>אם סכום הפיצויים שפסק בית המשפט קמא בלתי סביר הוא בעיני בית משפט שלערעור, כלומר, אינו עומד בכל יחס סביר למידת הנזק כפי שהוכחה, רק אז יראה בית המשפט שלערעור הצדק לעצמו להתערב ולהעמיד את הפיצויים על סכומים אחרים-סבירים"</w:t>
      </w:r>
      <w:r w:rsidRPr="00743795">
        <w:rPr>
          <w:rFonts w:hint="cs"/>
          <w:b/>
          <w:bCs/>
          <w:rtl/>
        </w:rPr>
        <w:t xml:space="preserve">. </w:t>
      </w:r>
      <w:r w:rsidRPr="00743795">
        <w:rPr>
          <w:rFonts w:hint="cs"/>
          <w:rtl/>
        </w:rPr>
        <w:t xml:space="preserve">(ע"א </w:t>
      </w:r>
      <w:r w:rsidRPr="009D6169">
        <w:rPr>
          <w:rFonts w:hint="cs"/>
          <w:rtl/>
        </w:rPr>
        <w:t xml:space="preserve">501/84 </w:t>
      </w:r>
      <w:r w:rsidRPr="009D6169">
        <w:rPr>
          <w:rFonts w:hint="cs"/>
          <w:b/>
          <w:bCs/>
          <w:rtl/>
        </w:rPr>
        <w:t>מגדל נ' מירון</w:t>
      </w:r>
      <w:r w:rsidRPr="009D6169">
        <w:rPr>
          <w:rFonts w:hint="cs"/>
          <w:rtl/>
        </w:rPr>
        <w:t>).</w:t>
      </w:r>
      <w:r w:rsidRPr="00743795">
        <w:rPr>
          <w:rFonts w:hint="cs"/>
          <w:b/>
          <w:bCs/>
          <w:rtl/>
        </w:rPr>
        <w:t xml:space="preserve"> </w:t>
      </w:r>
    </w:p>
    <w:p w:rsidR="00F45DA5" w:rsidRPr="00743795" w:rsidRDefault="00F45DA5" w:rsidP="004A7FD2">
      <w:pPr>
        <w:suppressLineNumbers/>
        <w:spacing w:after="120" w:line="360" w:lineRule="auto"/>
        <w:ind w:left="368" w:hanging="426"/>
        <w:jc w:val="both"/>
        <w:rPr>
          <w:rtl/>
        </w:rPr>
      </w:pPr>
      <w:r w:rsidRPr="00743795">
        <w:rPr>
          <w:b/>
          <w:bCs/>
          <w:rtl/>
        </w:rPr>
        <w:tab/>
      </w:r>
      <w:r w:rsidRPr="00C45D12">
        <w:rPr>
          <w:rFonts w:hint="cs"/>
          <w:u w:val="single"/>
          <w:rtl/>
        </w:rPr>
        <w:t>וכן</w:t>
      </w:r>
      <w:r>
        <w:rPr>
          <w:rFonts w:hint="cs"/>
          <w:rtl/>
        </w:rPr>
        <w:t>:</w:t>
      </w:r>
    </w:p>
    <w:p w:rsidR="00F45DA5" w:rsidRPr="00743795" w:rsidRDefault="00F45DA5" w:rsidP="004A7FD2">
      <w:pPr>
        <w:suppressLineNumbers/>
        <w:spacing w:after="120" w:line="360" w:lineRule="auto"/>
        <w:ind w:left="368"/>
        <w:jc w:val="both"/>
        <w:rPr>
          <w:rFonts w:ascii="Narkisim" w:hAnsi="Narkisim" w:cs="Narkisim"/>
          <w:b/>
          <w:bCs/>
          <w:rtl/>
        </w:rPr>
      </w:pPr>
      <w:r w:rsidRPr="00743795">
        <w:rPr>
          <w:rFonts w:ascii="Narkisim" w:hAnsi="Narkisim" w:cs="Narkisim" w:hint="cs"/>
          <w:color w:val="000000"/>
          <w:rtl/>
        </w:rPr>
        <w:t>"כשההפסד</w:t>
      </w:r>
      <w:r w:rsidRPr="00743795">
        <w:rPr>
          <w:rFonts w:ascii="Narkisim" w:hAnsi="Narkisim" w:cs="Narkisim"/>
          <w:color w:val="000000"/>
          <w:rtl/>
        </w:rPr>
        <w:t xml:space="preserve"> נקבע בדרך של הערכה גלובאלית או כל הערכה שאינה נשענת על חישוב כלשהו</w:t>
      </w:r>
      <w:r w:rsidRPr="00743795">
        <w:rPr>
          <w:rFonts w:ascii="Narkisim" w:hAnsi="Narkisim" w:cs="Narkisim" w:hint="cs"/>
          <w:color w:val="000000"/>
          <w:rtl/>
        </w:rPr>
        <w:t xml:space="preserve">, </w:t>
      </w:r>
      <w:r w:rsidRPr="00743795">
        <w:rPr>
          <w:rFonts w:ascii="Narkisim" w:hAnsi="Narkisim" w:cs="Narkisim"/>
          <w:color w:val="000000"/>
          <w:rtl/>
        </w:rPr>
        <w:t>הקושי להעביר את הערכת הערכאה הראשונה תחת שבט הביקורת, מטבע בדברים, רב הוא. אך לעתים, כשעל-פי נתונים, שהוכחו בבית המשפט, הסכום שנפסק נראה בלתי סביר ורחוק מהמציאות, לא יהסס בית המשפט שלערעור להתערב</w:t>
      </w:r>
      <w:r w:rsidRPr="00743795">
        <w:rPr>
          <w:rFonts w:ascii="Narkisim" w:hAnsi="Narkisim" w:cs="Narkisim" w:hint="cs"/>
          <w:color w:val="000000"/>
          <w:rtl/>
        </w:rPr>
        <w:t>...</w:t>
      </w:r>
      <w:r w:rsidRPr="00743795">
        <w:rPr>
          <w:rFonts w:ascii="Narkisim" w:hAnsi="Narkisim" w:cs="Narkisim"/>
          <w:color w:val="000000"/>
        </w:rPr>
        <w:t>"</w:t>
      </w:r>
      <w:r w:rsidRPr="00743795">
        <w:rPr>
          <w:rFonts w:ascii="Narkisim" w:hAnsi="Narkisim" w:cs="Narkisim" w:hint="cs"/>
          <w:b/>
          <w:bCs/>
          <w:rtl/>
        </w:rPr>
        <w:t xml:space="preserve"> </w:t>
      </w:r>
      <w:r w:rsidRPr="00743795">
        <w:rPr>
          <w:rFonts w:ascii="Narkisim" w:hAnsi="Narkisim" w:cs="Narkisim" w:hint="cs"/>
          <w:rtl/>
        </w:rPr>
        <w:t>(</w:t>
      </w:r>
      <w:r w:rsidRPr="00743795">
        <w:rPr>
          <w:color w:val="000000"/>
          <w:rtl/>
        </w:rPr>
        <w:t>ע"א 432/80 </w:t>
      </w:r>
      <w:r w:rsidRPr="009D6169">
        <w:rPr>
          <w:b/>
          <w:bCs/>
          <w:color w:val="000000"/>
          <w:rtl/>
        </w:rPr>
        <w:t>דוד שושן נ' אוטוקרס חברה בע"מ</w:t>
      </w:r>
      <w:r w:rsidRPr="009D6169">
        <w:rPr>
          <w:rFonts w:hint="cs"/>
          <w:color w:val="000000"/>
          <w:rtl/>
        </w:rPr>
        <w:t>)</w:t>
      </w:r>
      <w:r w:rsidRPr="009D6169">
        <w:rPr>
          <w:rFonts w:ascii="Narkisim" w:hAnsi="Narkisim" w:cs="Narkisim" w:hint="cs"/>
          <w:b/>
          <w:bCs/>
          <w:rtl/>
        </w:rPr>
        <w:t>.</w:t>
      </w:r>
    </w:p>
    <w:p w:rsidR="00F45DA5" w:rsidRPr="00743795" w:rsidRDefault="00F45DA5" w:rsidP="004A7FD2">
      <w:pPr>
        <w:pStyle w:val="ad"/>
        <w:numPr>
          <w:ilvl w:val="0"/>
          <w:numId w:val="1"/>
        </w:numPr>
        <w:spacing w:after="120" w:line="360" w:lineRule="auto"/>
        <w:ind w:left="368"/>
        <w:contextualSpacing w:val="0"/>
        <w:rPr>
          <w:rtl/>
        </w:rPr>
      </w:pPr>
      <w:r w:rsidRPr="00743795">
        <w:rPr>
          <w:rFonts w:hint="cs"/>
          <w:rtl/>
        </w:rPr>
        <w:t xml:space="preserve">כאמור, בפסיקת הפיצוי הגלובלי הכולל בנידונינו, </w:t>
      </w:r>
      <w:r w:rsidRPr="00C45D12">
        <w:rPr>
          <w:rFonts w:hint="cs"/>
          <w:u w:val="single"/>
          <w:rtl/>
        </w:rPr>
        <w:t>בימ"ש קמא הפעיל שיקול דעת</w:t>
      </w:r>
      <w:r w:rsidRPr="00743795">
        <w:rPr>
          <w:rFonts w:hint="cs"/>
          <w:rtl/>
        </w:rPr>
        <w:t xml:space="preserve"> והחליט </w:t>
      </w:r>
      <w:r w:rsidRPr="00C45D12">
        <w:rPr>
          <w:rFonts w:hint="cs"/>
          <w:b/>
          <w:bCs/>
          <w:rtl/>
        </w:rPr>
        <w:t>עפ"י שיקול דעתו</w:t>
      </w:r>
      <w:r w:rsidRPr="00743795">
        <w:rPr>
          <w:rFonts w:hint="cs"/>
          <w:rtl/>
        </w:rPr>
        <w:t xml:space="preserve"> לגזור את שיעור הפיצוי מחוק איסור לשון הרע, ובשים לב ליחסי המשפחה (הורים לשני ילדיהם) סבר </w:t>
      </w:r>
      <w:r w:rsidRPr="00C45D12">
        <w:rPr>
          <w:rFonts w:hint="cs"/>
          <w:b/>
          <w:bCs/>
          <w:rtl/>
        </w:rPr>
        <w:t>עפ"י שיקול דעתו</w:t>
      </w:r>
      <w:r w:rsidRPr="00743795">
        <w:rPr>
          <w:rFonts w:hint="cs"/>
          <w:rtl/>
        </w:rPr>
        <w:t xml:space="preserve"> שמן הראוי להעמיד את שיעור הפיצוי על הצד המתון.</w:t>
      </w:r>
    </w:p>
    <w:p w:rsidR="00F45DA5" w:rsidRPr="00743795" w:rsidRDefault="00F45DA5" w:rsidP="004A7FD2">
      <w:pPr>
        <w:pStyle w:val="ad"/>
        <w:numPr>
          <w:ilvl w:val="0"/>
          <w:numId w:val="1"/>
        </w:numPr>
        <w:spacing w:after="120" w:line="360" w:lineRule="auto"/>
        <w:ind w:left="368"/>
        <w:contextualSpacing w:val="0"/>
      </w:pPr>
      <w:r w:rsidRPr="00743795">
        <w:rPr>
          <w:rFonts w:hint="cs"/>
          <w:rtl/>
        </w:rPr>
        <w:t xml:space="preserve">לאחר בחינת כלל הנתונים ושמיעת הצדדים בפנינו, ולאור ההלכה הפסוקה בדבר התערבותה </w:t>
      </w:r>
      <w:r w:rsidRPr="00743795">
        <w:rPr>
          <w:rFonts w:hint="cs"/>
          <w:u w:val="single"/>
          <w:rtl/>
        </w:rPr>
        <w:t>המצומצמת</w:t>
      </w:r>
      <w:r w:rsidRPr="00743795">
        <w:rPr>
          <w:rFonts w:hint="cs"/>
          <w:rtl/>
        </w:rPr>
        <w:t xml:space="preserve"> של ערכאת ערעור </w:t>
      </w:r>
      <w:r w:rsidRPr="00743795">
        <w:rPr>
          <w:rFonts w:hint="cs"/>
          <w:b/>
          <w:bCs/>
          <w:rtl/>
        </w:rPr>
        <w:t>בשיקול הדעת של הערכאה הדיונית</w:t>
      </w:r>
      <w:r w:rsidRPr="00743795">
        <w:rPr>
          <w:rFonts w:hint="cs"/>
          <w:rtl/>
        </w:rPr>
        <w:t xml:space="preserve"> בבואה לפסוק פיצו</w:t>
      </w:r>
      <w:r>
        <w:rPr>
          <w:rFonts w:hint="cs"/>
          <w:rtl/>
        </w:rPr>
        <w:t>י גלובלי על דרך האומדנא, ומאחר ש</w:t>
      </w:r>
      <w:r w:rsidRPr="00743795">
        <w:rPr>
          <w:rFonts w:hint="cs"/>
          <w:rtl/>
        </w:rPr>
        <w:t xml:space="preserve">נוכחנו לדעת כי </w:t>
      </w:r>
      <w:r w:rsidRPr="00743795">
        <w:rPr>
          <w:rFonts w:hint="cs"/>
          <w:b/>
          <w:bCs/>
          <w:rtl/>
        </w:rPr>
        <w:t>בימ"ש קמא הפעיל שיקול דעת</w:t>
      </w:r>
      <w:r w:rsidRPr="00743795">
        <w:rPr>
          <w:rFonts w:hint="cs"/>
          <w:rtl/>
        </w:rPr>
        <w:t xml:space="preserve">, </w:t>
      </w:r>
      <w:r>
        <w:rPr>
          <w:rFonts w:hint="cs"/>
          <w:rtl/>
        </w:rPr>
        <w:t>אינני מוצא</w:t>
      </w:r>
      <w:r w:rsidRPr="00743795">
        <w:rPr>
          <w:rFonts w:hint="cs"/>
          <w:rtl/>
        </w:rPr>
        <w:t xml:space="preserve"> לנכון להתערב </w:t>
      </w:r>
      <w:r w:rsidRPr="00743795">
        <w:rPr>
          <w:rFonts w:hint="cs"/>
          <w:u w:val="single"/>
          <w:rtl/>
        </w:rPr>
        <w:t>בשיקול הדעת עצמו</w:t>
      </w:r>
      <w:r w:rsidRPr="00743795">
        <w:rPr>
          <w:rFonts w:hint="cs"/>
          <w:rtl/>
        </w:rPr>
        <w:t xml:space="preserve"> של בימ"ש קמא, למעט בעניין אחד שבו </w:t>
      </w:r>
      <w:r>
        <w:rPr>
          <w:rFonts w:hint="cs"/>
          <w:rtl/>
        </w:rPr>
        <w:t>סבורני</w:t>
      </w:r>
      <w:r w:rsidRPr="00743795">
        <w:rPr>
          <w:rFonts w:hint="cs"/>
          <w:rtl/>
        </w:rPr>
        <w:t xml:space="preserve"> כי נשמט מבימ"ש קמא, למרות שהוא היה ער לאותו עניין: על פניו נראה כי בימ"ש קמא, בבואו לגזור את גובה הפיצוי</w:t>
      </w:r>
      <w:r w:rsidRPr="00743795">
        <w:rPr>
          <w:rtl/>
        </w:rPr>
        <w:t xml:space="preserve"> לפי חוק איסור לשון הרע</w:t>
      </w:r>
      <w:r w:rsidRPr="00743795">
        <w:rPr>
          <w:rFonts w:hint="cs"/>
          <w:rtl/>
        </w:rPr>
        <w:t xml:space="preserve">, </w:t>
      </w:r>
      <w:r w:rsidRPr="00743795">
        <w:rPr>
          <w:rFonts w:hint="cs"/>
          <w:rtl/>
        </w:rPr>
        <w:lastRenderedPageBreak/>
        <w:t xml:space="preserve">שם לנגד עיניו את תקרת הפיצוי של סעיף 7א(ב) לחוק </w:t>
      </w:r>
      <w:r w:rsidRPr="00743795">
        <w:rPr>
          <w:rtl/>
        </w:rPr>
        <w:t>–</w:t>
      </w:r>
      <w:r w:rsidRPr="00743795">
        <w:rPr>
          <w:rFonts w:hint="cs"/>
          <w:rtl/>
        </w:rPr>
        <w:t xml:space="preserve"> 50,000 ₪ ללא הוכחת נזק, ומכאן הפחית לצד המתון בסך 35,000 ₪. (שכן סעיף 7א לחוק איסור לשון הרע העוסק בפיצוי ללא הוכחת נזק קובע </w:t>
      </w:r>
      <w:r w:rsidRPr="00743795">
        <w:rPr>
          <w:rFonts w:hint="cs"/>
          <w:u w:val="single"/>
          <w:rtl/>
        </w:rPr>
        <w:t>תקרת</w:t>
      </w:r>
      <w:r w:rsidRPr="00743795">
        <w:rPr>
          <w:rFonts w:hint="cs"/>
          <w:rtl/>
        </w:rPr>
        <w:t xml:space="preserve"> סכום: </w:t>
      </w:r>
      <w:r w:rsidRPr="00743795">
        <w:rPr>
          <w:rFonts w:ascii="Aharoni" w:hAnsi="Aharoni" w:cs="Aharoni"/>
          <w:rtl/>
        </w:rPr>
        <w:t>"...</w:t>
      </w:r>
      <w:r w:rsidRPr="00743795">
        <w:rPr>
          <w:rFonts w:ascii="Aharoni" w:hAnsi="Aharoni" w:cs="Aharoni" w:hint="cs"/>
          <w:rtl/>
        </w:rPr>
        <w:t xml:space="preserve">פיצוי </w:t>
      </w:r>
      <w:r w:rsidRPr="00743795">
        <w:rPr>
          <w:rFonts w:ascii="Aharoni" w:hAnsi="Aharoni" w:cs="Aharoni"/>
          <w:rtl/>
        </w:rPr>
        <w:t>שלא יעלה על</w:t>
      </w:r>
      <w:r w:rsidRPr="00743795">
        <w:rPr>
          <w:rFonts w:ascii="Aharoni" w:hAnsi="Aharoni" w:cs="Aharoni" w:hint="cs"/>
          <w:rtl/>
        </w:rPr>
        <w:t>..</w:t>
      </w:r>
      <w:r w:rsidRPr="00743795">
        <w:rPr>
          <w:rFonts w:ascii="Aharoni" w:hAnsi="Aharoni" w:cs="Aharoni"/>
          <w:rtl/>
        </w:rPr>
        <w:t>."</w:t>
      </w:r>
      <w:r w:rsidRPr="00743795">
        <w:rPr>
          <w:rFonts w:hint="cs"/>
          <w:rtl/>
        </w:rPr>
        <w:t xml:space="preserve">); ברם לטעמי, לאחר שבימ"ש קבע בפסק דינו כי האם ביצעה את מעשיה </w:t>
      </w:r>
      <w:r w:rsidRPr="00743795">
        <w:rPr>
          <w:rFonts w:hint="cs"/>
          <w:u w:val="single"/>
          <w:rtl/>
        </w:rPr>
        <w:t>בכוונת זדון</w:t>
      </w:r>
      <w:r w:rsidRPr="00743795">
        <w:rPr>
          <w:rFonts w:hint="cs"/>
          <w:rtl/>
        </w:rPr>
        <w:t>,</w:t>
      </w:r>
      <w:r w:rsidRPr="00743795">
        <w:rPr>
          <w:rtl/>
        </w:rPr>
        <w:t xml:space="preserve"> </w:t>
      </w:r>
      <w:r w:rsidRPr="00743795">
        <w:rPr>
          <w:rFonts w:hint="cs"/>
          <w:rtl/>
        </w:rPr>
        <w:t xml:space="preserve">היה על בימ"ש קמא לשים לנגד עיניו את תקרת </w:t>
      </w:r>
      <w:r w:rsidRPr="00743795">
        <w:rPr>
          <w:rFonts w:hint="cs"/>
          <w:u w:val="single"/>
          <w:rtl/>
        </w:rPr>
        <w:t>הפיצוי הכפול</w:t>
      </w:r>
      <w:r w:rsidRPr="00743795">
        <w:rPr>
          <w:rFonts w:hint="cs"/>
          <w:rtl/>
        </w:rPr>
        <w:t xml:space="preserve"> </w:t>
      </w:r>
      <w:r w:rsidRPr="00743795">
        <w:rPr>
          <w:rFonts w:hint="cs"/>
          <w:u w:val="single"/>
          <w:rtl/>
        </w:rPr>
        <w:t>וממנו</w:t>
      </w:r>
      <w:r w:rsidRPr="00743795">
        <w:rPr>
          <w:rFonts w:hint="cs"/>
          <w:rtl/>
        </w:rPr>
        <w:t xml:space="preserve"> להפחית לצד המתון.</w:t>
      </w:r>
    </w:p>
    <w:p w:rsidR="00F45DA5" w:rsidRPr="00743795" w:rsidRDefault="00F45DA5" w:rsidP="004A7FD2">
      <w:pPr>
        <w:pStyle w:val="ad"/>
        <w:spacing w:after="120" w:line="360" w:lineRule="auto"/>
        <w:ind w:left="368"/>
        <w:contextualSpacing w:val="0"/>
        <w:rPr>
          <w:rtl/>
        </w:rPr>
      </w:pPr>
      <w:r w:rsidRPr="00743795">
        <w:rPr>
          <w:rFonts w:hint="cs"/>
          <w:rtl/>
        </w:rPr>
        <w:t xml:space="preserve">אשר על כן, </w:t>
      </w:r>
      <w:r w:rsidRPr="00743795">
        <w:rPr>
          <w:rFonts w:hint="cs"/>
          <w:b/>
          <w:bCs/>
          <w:rtl/>
        </w:rPr>
        <w:t>ובמסגרת שיקול דעתו של בימ"ש קמא</w:t>
      </w:r>
      <w:r w:rsidRPr="00743795">
        <w:rPr>
          <w:rFonts w:hint="cs"/>
          <w:rtl/>
        </w:rPr>
        <w:t xml:space="preserve">, </w:t>
      </w:r>
      <w:r>
        <w:rPr>
          <w:rFonts w:hint="cs"/>
          <w:rtl/>
        </w:rPr>
        <w:t>סבורני</w:t>
      </w:r>
      <w:r w:rsidRPr="00743795">
        <w:rPr>
          <w:rFonts w:hint="cs"/>
          <w:rtl/>
        </w:rPr>
        <w:t xml:space="preserve"> כי יש </w:t>
      </w:r>
      <w:r w:rsidRPr="00743795">
        <w:rPr>
          <w:rFonts w:hint="cs"/>
          <w:u w:val="single"/>
          <w:rtl/>
        </w:rPr>
        <w:t>להכפיל</w:t>
      </w:r>
      <w:r w:rsidRPr="00743795">
        <w:rPr>
          <w:rFonts w:hint="cs"/>
          <w:rtl/>
        </w:rPr>
        <w:t xml:space="preserve"> את סכום הפיצוי שנפסק בבימ"ש קמא, </w:t>
      </w:r>
      <w:r w:rsidRPr="00743795">
        <w:rPr>
          <w:rFonts w:hint="cs"/>
          <w:u w:val="single"/>
          <w:rtl/>
        </w:rPr>
        <w:t>קרי סכום הפיצוי יעמוד על 70,000 ₪</w:t>
      </w:r>
      <w:r w:rsidRPr="00743795">
        <w:rPr>
          <w:rFonts w:hint="cs"/>
          <w:rtl/>
        </w:rPr>
        <w:t xml:space="preserve"> (במקום 35,000 ₪).</w:t>
      </w:r>
    </w:p>
    <w:p w:rsidR="00F45DA5" w:rsidRPr="00743795" w:rsidRDefault="00F45DA5" w:rsidP="004A7FD2">
      <w:pPr>
        <w:pStyle w:val="ad"/>
        <w:numPr>
          <w:ilvl w:val="0"/>
          <w:numId w:val="1"/>
        </w:numPr>
        <w:spacing w:after="120" w:line="360" w:lineRule="auto"/>
        <w:ind w:left="368" w:hanging="426"/>
        <w:contextualSpacing w:val="0"/>
        <w:rPr>
          <w:b/>
          <w:bCs/>
        </w:rPr>
      </w:pPr>
      <w:r w:rsidRPr="00743795">
        <w:rPr>
          <w:rFonts w:hint="cs"/>
          <w:rtl/>
        </w:rPr>
        <w:t>באשר לטענת המערער לתוספת פיצויים עונשיים</w:t>
      </w:r>
      <w:r>
        <w:rPr>
          <w:rFonts w:hint="cs"/>
          <w:rtl/>
        </w:rPr>
        <w:t xml:space="preserve"> </w:t>
      </w:r>
      <w:r>
        <w:rPr>
          <w:rtl/>
        </w:rPr>
        <w:t>–</w:t>
      </w:r>
      <w:r>
        <w:rPr>
          <w:rFonts w:hint="cs"/>
          <w:rtl/>
        </w:rPr>
        <w:t xml:space="preserve"> </w:t>
      </w:r>
      <w:r w:rsidRPr="00743795">
        <w:rPr>
          <w:rFonts w:hint="cs"/>
          <w:rtl/>
        </w:rPr>
        <w:t xml:space="preserve">אמנם הפסיקה </w:t>
      </w:r>
      <w:r w:rsidRPr="00743795">
        <w:rPr>
          <w:color w:val="000000"/>
          <w:rtl/>
        </w:rPr>
        <w:t>קבעה כי לבתי</w:t>
      </w:r>
      <w:r w:rsidRPr="00743795">
        <w:rPr>
          <w:rFonts w:hint="cs"/>
          <w:color w:val="000000"/>
          <w:rtl/>
        </w:rPr>
        <w:t xml:space="preserve"> </w:t>
      </w:r>
      <w:r w:rsidRPr="00743795">
        <w:rPr>
          <w:color w:val="000000"/>
          <w:rtl/>
        </w:rPr>
        <w:t>המשפט בישראל סמכות לפסוק פיצויים עונשיים (ראו</w:t>
      </w:r>
      <w:r w:rsidRPr="00743795">
        <w:rPr>
          <w:rFonts w:hint="cs"/>
          <w:rtl/>
        </w:rPr>
        <w:t xml:space="preserve">: </w:t>
      </w:r>
      <w:r w:rsidRPr="00743795">
        <w:rPr>
          <w:rtl/>
        </w:rPr>
        <w:t>ע"א 140/00 </w:t>
      </w:r>
      <w:r w:rsidRPr="009D6169">
        <w:rPr>
          <w:b/>
          <w:bCs/>
          <w:rtl/>
        </w:rPr>
        <w:t>עיזבון המנוח מיכאל אטינגר ז"ל נ' החברה לשיקום ופיתוח הרובע היהודי בעיר העתיקה בירושלים בע"</w:t>
      </w:r>
      <w:r w:rsidRPr="009D6169">
        <w:rPr>
          <w:rFonts w:hint="cs"/>
          <w:b/>
          <w:bCs/>
          <w:rtl/>
        </w:rPr>
        <w:t>מ</w:t>
      </w:r>
      <w:r w:rsidRPr="00743795">
        <w:rPr>
          <w:rFonts w:hint="cs"/>
          <w:rtl/>
        </w:rPr>
        <w:t xml:space="preserve"> (להלן: "</w:t>
      </w:r>
      <w:r w:rsidRPr="009D6169">
        <w:rPr>
          <w:rFonts w:hint="cs"/>
          <w:b/>
          <w:bCs/>
          <w:rtl/>
        </w:rPr>
        <w:t>פס"ד אטינגר</w:t>
      </w:r>
      <w:r>
        <w:rPr>
          <w:rFonts w:hint="cs"/>
          <w:rtl/>
        </w:rPr>
        <w:t xml:space="preserve">"), ברם בפועל </w:t>
      </w:r>
      <w:r w:rsidRPr="00743795">
        <w:rPr>
          <w:rFonts w:hint="cs"/>
          <w:rtl/>
        </w:rPr>
        <w:t>בתי המשפט אינם מרבים לפסוק פיצויים עונשיים:</w:t>
      </w:r>
    </w:p>
    <w:p w:rsidR="00F45DA5" w:rsidRPr="00743795" w:rsidRDefault="00F45DA5" w:rsidP="004A7FD2">
      <w:pPr>
        <w:spacing w:after="120" w:line="360" w:lineRule="auto"/>
        <w:ind w:left="368"/>
        <w:jc w:val="both"/>
      </w:pPr>
      <w:r w:rsidRPr="00743795">
        <w:rPr>
          <w:rFonts w:ascii="Narkisim" w:hAnsi="Narkisim" w:cs="Narkisim"/>
          <w:color w:val="000000"/>
          <w:rtl/>
        </w:rPr>
        <w:t>"</w:t>
      </w:r>
      <w:r w:rsidRPr="00743795">
        <w:rPr>
          <w:rFonts w:ascii="Narkisim" w:hAnsi="Narkisim" w:cs="Narkisim" w:hint="cs"/>
          <w:color w:val="000000"/>
          <w:rtl/>
        </w:rPr>
        <w:t xml:space="preserve">לשאלת הפיצויים העונשיים יש אפוא פנים לכאן ולכאן. על כל פנים, לאור ייחודם של הפיצויים העונשיים, נהגה בהם הפסיקה, בדרך כלל, יחס של הסתייגות או למצער זהירות, אף כי ניתן למצוא בשיטות השונות גוונים שונים ביחסן לסוגיה." </w:t>
      </w:r>
      <w:r w:rsidRPr="00743795">
        <w:rPr>
          <w:rFonts w:hint="cs"/>
          <w:rtl/>
        </w:rPr>
        <w:t>(פס"ד אטינגר לעיל, סע' 77).</w:t>
      </w:r>
    </w:p>
    <w:p w:rsidR="00F45DA5" w:rsidRPr="0048371A" w:rsidRDefault="00F45DA5" w:rsidP="004A7FD2">
      <w:pPr>
        <w:spacing w:after="120" w:line="360" w:lineRule="auto"/>
        <w:ind w:left="368"/>
        <w:jc w:val="both"/>
        <w:rPr>
          <w:rtl/>
        </w:rPr>
      </w:pPr>
      <w:r w:rsidRPr="00743795">
        <w:rPr>
          <w:rFonts w:hint="cs"/>
          <w:rtl/>
        </w:rPr>
        <w:t xml:space="preserve">כאמור פנים לכאן ולכאן, וכפי </w:t>
      </w:r>
      <w:r>
        <w:rPr>
          <w:rFonts w:hint="cs"/>
          <w:rtl/>
        </w:rPr>
        <w:t>שהובהר</w:t>
      </w:r>
      <w:r w:rsidRPr="0048371A">
        <w:rPr>
          <w:rFonts w:hint="cs"/>
          <w:rtl/>
        </w:rPr>
        <w:t xml:space="preserve"> לעיל</w:t>
      </w:r>
      <w:r>
        <w:rPr>
          <w:rFonts w:hint="cs"/>
          <w:rtl/>
        </w:rPr>
        <w:t xml:space="preserve"> </w:t>
      </w:r>
      <w:r>
        <w:rPr>
          <w:rtl/>
        </w:rPr>
        <w:t>–</w:t>
      </w:r>
      <w:r w:rsidRPr="0048371A">
        <w:rPr>
          <w:rFonts w:hint="cs"/>
          <w:rtl/>
        </w:rPr>
        <w:t xml:space="preserve"> בימ"ש קמא </w:t>
      </w:r>
      <w:r w:rsidRPr="0048371A">
        <w:rPr>
          <w:rFonts w:hint="cs"/>
          <w:u w:val="single"/>
          <w:rtl/>
        </w:rPr>
        <w:t>הפעיל שיקול דעת</w:t>
      </w:r>
      <w:r w:rsidRPr="0048371A">
        <w:rPr>
          <w:rFonts w:hint="cs"/>
          <w:rtl/>
        </w:rPr>
        <w:t xml:space="preserve"> והחליט בסופו של דבר לפסוק </w:t>
      </w:r>
      <w:r w:rsidRPr="0048371A">
        <w:rPr>
          <w:rFonts w:hint="cs"/>
          <w:b/>
          <w:bCs/>
          <w:rtl/>
        </w:rPr>
        <w:t>פיצוי גלובלי כולל</w:t>
      </w:r>
      <w:r w:rsidRPr="0048371A">
        <w:rPr>
          <w:rFonts w:hint="cs"/>
          <w:rtl/>
        </w:rPr>
        <w:t xml:space="preserve">, </w:t>
      </w:r>
      <w:r w:rsidRPr="00C45D12">
        <w:rPr>
          <w:rFonts w:hint="cs"/>
          <w:u w:val="single"/>
          <w:rtl/>
        </w:rPr>
        <w:t>ולא פיצויים עונשיים</w:t>
      </w:r>
      <w:r w:rsidRPr="0048371A">
        <w:rPr>
          <w:rFonts w:hint="cs"/>
          <w:rtl/>
        </w:rPr>
        <w:t>.</w:t>
      </w:r>
    </w:p>
    <w:p w:rsidR="00F45DA5" w:rsidRDefault="00F45DA5" w:rsidP="004A7FD2">
      <w:pPr>
        <w:spacing w:after="120" w:line="360" w:lineRule="auto"/>
        <w:ind w:left="368"/>
        <w:jc w:val="both"/>
        <w:rPr>
          <w:rFonts w:ascii="Aharoni" w:hAnsi="Aharoni" w:cs="Aharoni"/>
          <w:rtl/>
        </w:rPr>
      </w:pPr>
      <w:r w:rsidRPr="0048371A">
        <w:rPr>
          <w:rFonts w:hint="cs"/>
          <w:rtl/>
        </w:rPr>
        <w:t>משלא מצא</w:t>
      </w:r>
      <w:r>
        <w:rPr>
          <w:rFonts w:hint="cs"/>
          <w:rtl/>
        </w:rPr>
        <w:t>תי כי נסיבות התיק דנן מצדיקות</w:t>
      </w:r>
      <w:r w:rsidRPr="0048371A">
        <w:rPr>
          <w:rFonts w:hint="cs"/>
          <w:rtl/>
        </w:rPr>
        <w:t xml:space="preserve"> את התערבותה של ערכאת הערעור </w:t>
      </w:r>
      <w:r w:rsidRPr="0048371A">
        <w:rPr>
          <w:rFonts w:hint="cs"/>
          <w:b/>
          <w:bCs/>
          <w:rtl/>
        </w:rPr>
        <w:t>בשיקול הדעת עצמו</w:t>
      </w:r>
      <w:r w:rsidRPr="0048371A">
        <w:rPr>
          <w:rFonts w:hint="cs"/>
          <w:rtl/>
        </w:rPr>
        <w:t>, למעט הכפלת הפיצוי (בו מצא</w:t>
      </w:r>
      <w:r>
        <w:rPr>
          <w:rFonts w:hint="cs"/>
          <w:rtl/>
        </w:rPr>
        <w:t>תי</w:t>
      </w:r>
      <w:r w:rsidRPr="0048371A">
        <w:rPr>
          <w:rFonts w:hint="cs"/>
          <w:rtl/>
        </w:rPr>
        <w:t xml:space="preserve"> להתערב כאמור לעיל, בכדי שסכום הפיצוי יהיה ראוי והולם את נזקיו הכללים של המערער), לא ראי</w:t>
      </w:r>
      <w:r>
        <w:rPr>
          <w:rFonts w:hint="cs"/>
          <w:rtl/>
        </w:rPr>
        <w:t>תי</w:t>
      </w:r>
      <w:r w:rsidRPr="0048371A">
        <w:rPr>
          <w:rFonts w:hint="cs"/>
          <w:rtl/>
        </w:rPr>
        <w:t xml:space="preserve"> לנכון לפסוק בנדון פיצויים (או גם פיצויים) עונשיים.</w:t>
      </w:r>
    </w:p>
    <w:p w:rsidR="00F45DA5" w:rsidRPr="0048371A" w:rsidRDefault="00F45DA5" w:rsidP="004A7FD2">
      <w:pPr>
        <w:pStyle w:val="ad"/>
        <w:numPr>
          <w:ilvl w:val="0"/>
          <w:numId w:val="1"/>
        </w:numPr>
        <w:spacing w:after="120" w:line="360" w:lineRule="auto"/>
        <w:ind w:left="368" w:hanging="426"/>
        <w:contextualSpacing w:val="0"/>
        <w:rPr>
          <w:b/>
          <w:bCs/>
          <w:rtl/>
        </w:rPr>
      </w:pPr>
      <w:r w:rsidRPr="00C45D12">
        <w:rPr>
          <w:rFonts w:hint="cs"/>
          <w:u w:val="single"/>
          <w:rtl/>
        </w:rPr>
        <w:t xml:space="preserve">בשולי החלטתי, עיינתי בחוות דעתה המנומקת של חברתי כב' השופטת אלון, </w:t>
      </w:r>
      <w:r>
        <w:rPr>
          <w:rFonts w:hint="cs"/>
          <w:u w:val="single"/>
          <w:rtl/>
        </w:rPr>
        <w:t>ו</w:t>
      </w:r>
      <w:r w:rsidRPr="00C45D12">
        <w:rPr>
          <w:rFonts w:hint="cs"/>
          <w:u w:val="single"/>
          <w:rtl/>
        </w:rPr>
        <w:t xml:space="preserve">אבקש להעיר </w:t>
      </w:r>
      <w:r>
        <w:rPr>
          <w:rFonts w:hint="cs"/>
          <w:u w:val="single"/>
          <w:rtl/>
        </w:rPr>
        <w:t>כ</w:t>
      </w:r>
      <w:r w:rsidRPr="00C45D12">
        <w:rPr>
          <w:rFonts w:hint="cs"/>
          <w:u w:val="single"/>
          <w:rtl/>
        </w:rPr>
        <w:t>דלקמן</w:t>
      </w:r>
      <w:r w:rsidRPr="0048371A">
        <w:rPr>
          <w:rFonts w:hint="cs"/>
          <w:rtl/>
        </w:rPr>
        <w:t>:</w:t>
      </w:r>
    </w:p>
    <w:p w:rsidR="00F45DA5" w:rsidRPr="00A47B21" w:rsidRDefault="00F45DA5" w:rsidP="004A7FD2">
      <w:pPr>
        <w:spacing w:after="120" w:line="360" w:lineRule="auto"/>
        <w:ind w:left="368"/>
        <w:jc w:val="both"/>
        <w:rPr>
          <w:sz w:val="20"/>
          <w:szCs w:val="20"/>
          <w:rtl/>
        </w:rPr>
      </w:pPr>
      <w:r>
        <w:rPr>
          <w:rFonts w:hint="cs"/>
          <w:rtl/>
        </w:rPr>
        <w:t>כב' השופטת אלון קובעת בחוות דעתה כי לא היה מקום לערוך הקבלה והשאלה לעניין גובה הפיצויים דכאן מגובה הפיצויים מכח חוק איסור לשון הרע, תוך שבין היתר הפנתה ל-רע"א 1497/06</w:t>
      </w:r>
      <w:r w:rsidRPr="009D6169">
        <w:rPr>
          <w:rFonts w:hint="cs"/>
          <w:rtl/>
        </w:rPr>
        <w:t xml:space="preserve"> </w:t>
      </w:r>
      <w:r w:rsidRPr="009D6169">
        <w:rPr>
          <w:rFonts w:hint="cs"/>
          <w:b/>
          <w:bCs/>
          <w:rtl/>
        </w:rPr>
        <w:t>פלוני נ' פלוני</w:t>
      </w:r>
      <w:r w:rsidRPr="009D6169">
        <w:rPr>
          <w:rFonts w:hint="cs"/>
          <w:rtl/>
        </w:rPr>
        <w:t xml:space="preserve"> (להלן: "</w:t>
      </w:r>
      <w:r w:rsidRPr="009D6169">
        <w:rPr>
          <w:rFonts w:hint="cs"/>
          <w:b/>
          <w:bCs/>
          <w:rtl/>
        </w:rPr>
        <w:t>פרשת פלוני</w:t>
      </w:r>
      <w:r w:rsidRPr="009D6169">
        <w:rPr>
          <w:rFonts w:hint="cs"/>
          <w:rtl/>
        </w:rPr>
        <w:t>"</w:t>
      </w:r>
      <w:r>
        <w:rPr>
          <w:rFonts w:hint="cs"/>
          <w:rtl/>
        </w:rPr>
        <w:t>), שם ביהמ"ש העליון שלל את ההיקש מחוק איסור לשון הרע הואיל ו"</w:t>
      </w:r>
      <w:r w:rsidRPr="00A47B21">
        <w:rPr>
          <w:rFonts w:hint="cs"/>
          <w:b/>
          <w:bCs/>
          <w:rtl/>
        </w:rPr>
        <w:t>הפיצוי דהתם הוא פיצוי סטטורי..."</w:t>
      </w:r>
      <w:r>
        <w:rPr>
          <w:rFonts w:hint="cs"/>
          <w:rtl/>
        </w:rPr>
        <w:t xml:space="preserve"> וכו'; ברם עיון בפסה"ד הנ"ל מעלה כי שלילת ההיקש מחוק איסור לשון הרע כאמת מידה לסכום הפיצוי שנפסק שם, התייחסה כאמת מידה </w:t>
      </w:r>
      <w:r w:rsidRPr="00A47B21">
        <w:rPr>
          <w:rFonts w:hint="cs"/>
          <w:u w:val="single"/>
          <w:rtl/>
        </w:rPr>
        <w:t>לפיצויים עונשיים</w:t>
      </w:r>
      <w:r>
        <w:rPr>
          <w:rFonts w:hint="cs"/>
          <w:rtl/>
        </w:rPr>
        <w:t xml:space="preserve">, </w:t>
      </w:r>
      <w:r w:rsidRPr="00A47B21">
        <w:rPr>
          <w:rFonts w:hint="cs"/>
          <w:b/>
          <w:bCs/>
          <w:rtl/>
        </w:rPr>
        <w:t xml:space="preserve">ולא </w:t>
      </w:r>
      <w:r>
        <w:rPr>
          <w:rFonts w:hint="cs"/>
          <w:b/>
          <w:bCs/>
          <w:rtl/>
        </w:rPr>
        <w:t xml:space="preserve">כאמת מידה </w:t>
      </w:r>
      <w:r w:rsidRPr="00A47B21">
        <w:rPr>
          <w:rFonts w:hint="cs"/>
          <w:b/>
          <w:bCs/>
          <w:rtl/>
        </w:rPr>
        <w:t xml:space="preserve">לפסיקת </w:t>
      </w:r>
      <w:r w:rsidRPr="002F218D">
        <w:rPr>
          <w:rFonts w:hint="cs"/>
          <w:b/>
          <w:bCs/>
          <w:u w:val="single"/>
          <w:rtl/>
        </w:rPr>
        <w:t>נזק כללי לא ממוני</w:t>
      </w:r>
      <w:r w:rsidRPr="00A47B21">
        <w:rPr>
          <w:rFonts w:hint="cs"/>
          <w:b/>
          <w:bCs/>
          <w:rtl/>
        </w:rPr>
        <w:t xml:space="preserve"> ללא הוכחת נזק</w:t>
      </w:r>
      <w:r>
        <w:rPr>
          <w:rFonts w:hint="cs"/>
          <w:rtl/>
        </w:rPr>
        <w:t xml:space="preserve">: </w:t>
      </w:r>
      <w:r>
        <w:rPr>
          <w:rFonts w:hint="cs"/>
          <w:sz w:val="20"/>
          <w:szCs w:val="20"/>
          <w:rtl/>
        </w:rPr>
        <w:t>[ההדגשות אינן במקור]</w:t>
      </w:r>
    </w:p>
    <w:p w:rsidR="00F45DA5" w:rsidRDefault="00F45DA5" w:rsidP="004A7FD2">
      <w:pPr>
        <w:spacing w:after="120" w:line="360" w:lineRule="auto"/>
        <w:ind w:left="720" w:right="851"/>
        <w:jc w:val="both"/>
        <w:rPr>
          <w:rtl/>
        </w:rPr>
      </w:pPr>
      <w:r>
        <w:rPr>
          <w:rFonts w:ascii="FrankRuehl" w:hAnsi="FrankRuehl" w:cs="FrankRuehl" w:hint="cs"/>
          <w:sz w:val="28"/>
          <w:szCs w:val="28"/>
          <w:rtl/>
        </w:rPr>
        <w:t>"</w:t>
      </w:r>
      <w:r w:rsidRPr="00A47B21">
        <w:rPr>
          <w:rFonts w:ascii="Narkisim" w:hAnsi="Narkisim" w:cs="Narkisim"/>
          <w:rtl/>
        </w:rPr>
        <w:t xml:space="preserve">אשר לסכום; בית משפט השלום פסק למבקש </w:t>
      </w:r>
      <w:r w:rsidRPr="00A47B21">
        <w:rPr>
          <w:rFonts w:ascii="Narkisim" w:hAnsi="Narkisim" w:cs="Narkisim"/>
          <w:u w:val="single"/>
          <w:rtl/>
        </w:rPr>
        <w:t>פיצוי עונש</w:t>
      </w:r>
      <w:r w:rsidRPr="00A47B21">
        <w:rPr>
          <w:rFonts w:ascii="Narkisim" w:hAnsi="Narkisim" w:cs="Narkisim"/>
          <w:rtl/>
        </w:rPr>
        <w:t>י בסך 15,000 ₪, שכדברי בית המשפט ראוי "שישקללו את עוגמת הנפש במועד האירוע, היעדר הנכות, את גילו של נתבע מס' 1 (משיב 1 – א"ר) במועד ביצוע המעשה, את העובדה כי מדובר במקרה יחיד ויוצא דופן בהתנהלותו של נתבע מס' 1 לפני ואחרי האירוע, ומאידך את האלמנט העונשי". </w:t>
      </w:r>
      <w:r w:rsidRPr="00A47B21">
        <w:rPr>
          <w:rFonts w:ascii="Narkisim" w:hAnsi="Narkisim" w:cs="Narkisim"/>
          <w:u w:val="single"/>
          <w:rtl/>
        </w:rPr>
        <w:t>מטרתם של הפיצויים העונשיים</w:t>
      </w:r>
      <w:r w:rsidRPr="00A47B21">
        <w:rPr>
          <w:rFonts w:ascii="Narkisim" w:hAnsi="Narkisim" w:cs="Narkisim"/>
          <w:rtl/>
        </w:rPr>
        <w:t xml:space="preserve"> היא להעניש את המזיק על התנהגותו על ידי חיובו בפיצויים בסכום העולה על הנזק שגרם, ובמיוחד להרתיע את המזיק ואחרים (ע"א </w:t>
      </w:r>
      <w:r w:rsidRPr="0048371A">
        <w:rPr>
          <w:rFonts w:ascii="Narkisim" w:hAnsi="Narkisim" w:cs="Narkisim"/>
          <w:rtl/>
        </w:rPr>
        <w:lastRenderedPageBreak/>
        <w:t xml:space="preserve">140/00 </w:t>
      </w:r>
      <w:r w:rsidRPr="00A47B21">
        <w:rPr>
          <w:rFonts w:ascii="Narkisim" w:hAnsi="Narkisim" w:cs="Narkisim"/>
          <w:rtl/>
        </w:rPr>
        <w:t xml:space="preserve"> עזבון המנוח מיכאל אטינגר ז"ל ואח' נ' החברה לשיקום ופיתוח הרובע היהודי בעיר העתיקה ובירושלים בע"מ ואח' פ"ד נח(4) 486, 562- 563 (השופט ריבלין); ראו גם </w:t>
      </w:r>
      <w:r w:rsidRPr="0048371A">
        <w:rPr>
          <w:rFonts w:ascii="Narkisim" w:hAnsi="Narkisim" w:cs="Narkisim"/>
          <w:rtl/>
        </w:rPr>
        <w:t>ע"א 9656/03</w:t>
      </w:r>
      <w:r w:rsidRPr="00A47B21">
        <w:rPr>
          <w:rFonts w:ascii="Narkisim" w:hAnsi="Narkisim" w:cs="Narkisim"/>
          <w:rtl/>
        </w:rPr>
        <w:t xml:space="preserve"> עזבון המנוחה ברטה מרציאנו ז"ל ואח' נ' ד"ר זינגר ואח' (טרם פורסם)). הם ניתנים ככלל בנסיבות חריגות. נוכח מכלול השיקולים עליהם עמד בית משפט השלום כאמור אין מקום להתערבות ערכאה זו בסכום שנפסק. אוסיף, כי לא אוכל לקבל אף את טענת המבקשים, לפיה יש להקיש לענייננו מ</w:t>
      </w:r>
      <w:r w:rsidRPr="0048371A">
        <w:rPr>
          <w:rFonts w:ascii="Narkisim" w:hAnsi="Narkisim" w:cs="Narkisim"/>
          <w:rtl/>
        </w:rPr>
        <w:t>חוק איסור לשון הרע</w:t>
      </w:r>
      <w:r w:rsidRPr="00A47B21">
        <w:rPr>
          <w:rFonts w:ascii="Narkisim" w:hAnsi="Narkisim" w:cs="Narkisim"/>
          <w:rtl/>
        </w:rPr>
        <w:t xml:space="preserve">, מכוחו ניתן לפסוק לניזוק פיצוי בשיעור 50,000 ₪ ללא הוכחת נזק. </w:t>
      </w:r>
      <w:r w:rsidRPr="00A47B21">
        <w:rPr>
          <w:rFonts w:ascii="Narkisim" w:hAnsi="Narkisim" w:cs="Narkisim"/>
          <w:u w:val="single"/>
          <w:rtl/>
        </w:rPr>
        <w:t xml:space="preserve">הפיצוי דהתם הוא פיצוי סטטוטורי, אשר בבסיסו עומדות מטרות שונות </w:t>
      </w:r>
      <w:r w:rsidRPr="00A47B21">
        <w:rPr>
          <w:rFonts w:ascii="Narkisim" w:hAnsi="Narkisim" w:cs="Narkisim"/>
          <w:u w:val="double"/>
          <w:rtl/>
        </w:rPr>
        <w:t>ממטרותיו של הפיצוי העונשי</w:t>
      </w:r>
      <w:r w:rsidRPr="00A47B21">
        <w:rPr>
          <w:rFonts w:ascii="Narkisim" w:hAnsi="Narkisim" w:cs="Narkisim"/>
          <w:u w:val="single"/>
          <w:rtl/>
        </w:rPr>
        <w:t>,</w:t>
      </w:r>
      <w:r w:rsidRPr="00A47B21">
        <w:rPr>
          <w:rFonts w:ascii="Narkisim" w:hAnsi="Narkisim" w:cs="Narkisim"/>
          <w:rtl/>
        </w:rPr>
        <w:t xml:space="preserve"> ועניינן (בעיקר) במתן אפשרות לניזוק לזכות בסעד בגין נזק שנגרם לו בעוולה, גם מקום שנזק זה קשה להוכחה (</w:t>
      </w:r>
      <w:r w:rsidRPr="0048371A">
        <w:rPr>
          <w:rFonts w:ascii="Narkisim" w:hAnsi="Narkisim" w:cs="Narkisim"/>
          <w:rtl/>
        </w:rPr>
        <w:t>ע"א 592/88 שגיא ואח' נ' עזבון המנוח אברהם ניניו ז"ל ואח' פ"ד מו</w:t>
      </w:r>
      <w:r w:rsidRPr="00A47B21">
        <w:rPr>
          <w:rFonts w:ascii="Narkisim" w:hAnsi="Narkisim" w:cs="Narkisim"/>
          <w:rtl/>
        </w:rPr>
        <w:t>(2) 254, 264, 270 (הנשיא שמגר))."</w:t>
      </w:r>
    </w:p>
    <w:p w:rsidR="00F45DA5" w:rsidRDefault="00F45DA5" w:rsidP="004A7FD2">
      <w:pPr>
        <w:spacing w:after="120" w:line="360" w:lineRule="auto"/>
        <w:ind w:left="368"/>
        <w:jc w:val="both"/>
        <w:rPr>
          <w:rtl/>
        </w:rPr>
      </w:pPr>
      <w:r>
        <w:rPr>
          <w:rFonts w:hint="cs"/>
          <w:rtl/>
        </w:rPr>
        <w:t>הנה כי כן ביהמ"ש העליון מדגיש במפורש ב</w:t>
      </w:r>
      <w:r w:rsidRPr="009D6169">
        <w:rPr>
          <w:rFonts w:hint="cs"/>
          <w:b/>
          <w:bCs/>
          <w:rtl/>
        </w:rPr>
        <w:t xml:space="preserve">פרשת פלוני </w:t>
      </w:r>
      <w:r>
        <w:rPr>
          <w:rFonts w:hint="cs"/>
          <w:rtl/>
        </w:rPr>
        <w:t xml:space="preserve">את ההבדל בין מטרותיו של פיצוי </w:t>
      </w:r>
      <w:r w:rsidRPr="00A47B21">
        <w:rPr>
          <w:rFonts w:hint="cs"/>
          <w:b/>
          <w:bCs/>
          <w:rtl/>
        </w:rPr>
        <w:t>מכח חוק איסור לשון הרע</w:t>
      </w:r>
      <w:r>
        <w:rPr>
          <w:rFonts w:hint="cs"/>
          <w:rtl/>
        </w:rPr>
        <w:t xml:space="preserve">, לבין מטרותיו של </w:t>
      </w:r>
      <w:r w:rsidRPr="00A47B21">
        <w:rPr>
          <w:rFonts w:hint="cs"/>
          <w:b/>
          <w:bCs/>
          <w:rtl/>
        </w:rPr>
        <w:t>הפיצוי העונשי,</w:t>
      </w:r>
      <w:r>
        <w:rPr>
          <w:rFonts w:hint="cs"/>
          <w:rtl/>
        </w:rPr>
        <w:t xml:space="preserve"> ובבוא ביהמ"ש לפסוק פיצויים </w:t>
      </w:r>
      <w:r w:rsidRPr="00A47B21">
        <w:rPr>
          <w:rFonts w:hint="cs"/>
          <w:u w:val="single"/>
          <w:rtl/>
        </w:rPr>
        <w:t>עונשיים</w:t>
      </w:r>
      <w:r>
        <w:rPr>
          <w:rFonts w:hint="cs"/>
          <w:rtl/>
        </w:rPr>
        <w:t xml:space="preserve">, אין מקום לעשות הקבלה והיקש לעניין שיעור הפיצויים </w:t>
      </w:r>
      <w:r w:rsidRPr="00A47B21">
        <w:rPr>
          <w:rFonts w:hint="cs"/>
          <w:u w:val="single"/>
          <w:rtl/>
        </w:rPr>
        <w:t>העונשיים</w:t>
      </w:r>
      <w:r>
        <w:rPr>
          <w:rFonts w:hint="cs"/>
          <w:rtl/>
        </w:rPr>
        <w:t xml:space="preserve"> מחוק איסור לשון הרע, מהטעמים שפורטו. </w:t>
      </w:r>
    </w:p>
    <w:p w:rsidR="00F45DA5" w:rsidRPr="00743795" w:rsidRDefault="00F45DA5" w:rsidP="004A7FD2">
      <w:pPr>
        <w:spacing w:after="120" w:line="360" w:lineRule="auto"/>
        <w:ind w:left="368" w:hanging="368"/>
        <w:jc w:val="both"/>
        <w:rPr>
          <w:rFonts w:ascii="Aharoni" w:hAnsi="Aharoni" w:cs="Aharoni"/>
        </w:rPr>
      </w:pPr>
      <w:r>
        <w:rPr>
          <w:rtl/>
        </w:rPr>
        <w:tab/>
      </w:r>
      <w:r>
        <w:rPr>
          <w:rFonts w:hint="cs"/>
          <w:rtl/>
        </w:rPr>
        <w:t xml:space="preserve">ברם בנידונינו רכיב הפיצוי הוגדר ע"י בימ"ש קמא </w:t>
      </w:r>
      <w:r w:rsidRPr="00A47B21">
        <w:rPr>
          <w:rFonts w:hint="cs"/>
          <w:u w:val="single"/>
          <w:rtl/>
        </w:rPr>
        <w:t>כפיצוי בגין נזק</w:t>
      </w:r>
      <w:r>
        <w:rPr>
          <w:rFonts w:hint="cs"/>
          <w:rtl/>
        </w:rPr>
        <w:t xml:space="preserve"> (נזק כללי, לא ממוני) </w:t>
      </w:r>
      <w:r w:rsidRPr="00A47B21">
        <w:rPr>
          <w:rFonts w:hint="cs"/>
          <w:b/>
          <w:bCs/>
          <w:rtl/>
        </w:rPr>
        <w:t>ולא כפיצוי עונשי</w:t>
      </w:r>
      <w:r>
        <w:rPr>
          <w:rFonts w:hint="cs"/>
          <w:rtl/>
        </w:rPr>
        <w:t xml:space="preserve">. אדרבא, בימ"ש קמא לא פסק פיצויים עונשיים כלל. משנקבע פיצוי בגין נזק כללי לא ממוני (ולא פיצוי עונשי), לטעמי אין כל מניעה לערוך היקש והקבלה לעניין גובה הפיצוי מחוק איסור לשון הרע, ולא בכך עוסקת </w:t>
      </w:r>
      <w:r w:rsidRPr="009D6169">
        <w:rPr>
          <w:rFonts w:hint="cs"/>
          <w:b/>
          <w:bCs/>
          <w:rtl/>
        </w:rPr>
        <w:t>פרשת פלוני</w:t>
      </w:r>
      <w:r>
        <w:rPr>
          <w:rFonts w:hint="cs"/>
          <w:rtl/>
        </w:rPr>
        <w:t>.</w:t>
      </w:r>
    </w:p>
    <w:p w:rsidR="00F45DA5" w:rsidRDefault="00F45DA5" w:rsidP="004A7FD2">
      <w:pPr>
        <w:pStyle w:val="ad"/>
        <w:numPr>
          <w:ilvl w:val="0"/>
          <w:numId w:val="1"/>
        </w:numPr>
        <w:spacing w:after="120" w:line="360" w:lineRule="auto"/>
        <w:ind w:left="368" w:hanging="368"/>
        <w:contextualSpacing w:val="0"/>
        <w:rPr>
          <w:b/>
          <w:bCs/>
        </w:rPr>
      </w:pPr>
      <w:r w:rsidRPr="00743795">
        <w:rPr>
          <w:rFonts w:hint="cs"/>
          <w:rtl/>
        </w:rPr>
        <w:t xml:space="preserve">סיכומו של דבר ולאור כל האמור, </w:t>
      </w:r>
      <w:r>
        <w:rPr>
          <w:rFonts w:hint="cs"/>
          <w:rtl/>
        </w:rPr>
        <w:t>אמליץ לחבריי</w:t>
      </w:r>
      <w:r w:rsidRPr="00743795">
        <w:rPr>
          <w:rFonts w:hint="cs"/>
          <w:rtl/>
        </w:rPr>
        <w:t xml:space="preserve"> על </w:t>
      </w:r>
      <w:r w:rsidRPr="00C45D12">
        <w:rPr>
          <w:rFonts w:hint="cs"/>
          <w:b/>
          <w:bCs/>
          <w:rtl/>
        </w:rPr>
        <w:t>הכפלת</w:t>
      </w:r>
      <w:r w:rsidRPr="00743795">
        <w:rPr>
          <w:rFonts w:hint="cs"/>
          <w:rtl/>
        </w:rPr>
        <w:t xml:space="preserve"> סכום הפיצוי שנפסק, </w:t>
      </w:r>
      <w:r w:rsidRPr="00C45D12">
        <w:rPr>
          <w:rFonts w:hint="cs"/>
          <w:u w:val="single"/>
          <w:rtl/>
        </w:rPr>
        <w:t>באופן שיעמוד על 70,000 ₪</w:t>
      </w:r>
      <w:r w:rsidRPr="00743795">
        <w:rPr>
          <w:rFonts w:hint="cs"/>
          <w:rtl/>
        </w:rPr>
        <w:t xml:space="preserve"> (במקום 35,000 ₪).</w:t>
      </w:r>
    </w:p>
    <w:p w:rsidR="00F45DA5" w:rsidRPr="003F1DB3" w:rsidRDefault="00F45DA5" w:rsidP="004A7FD2">
      <w:pPr>
        <w:pStyle w:val="ad"/>
        <w:numPr>
          <w:ilvl w:val="0"/>
          <w:numId w:val="1"/>
        </w:numPr>
        <w:spacing w:after="120" w:line="360" w:lineRule="auto"/>
        <w:ind w:left="368" w:hanging="368"/>
        <w:contextualSpacing w:val="0"/>
        <w:rPr>
          <w:rtl/>
        </w:rPr>
      </w:pPr>
      <w:r w:rsidRPr="003F1DB3">
        <w:rPr>
          <w:rtl/>
        </w:rPr>
        <w:t xml:space="preserve">בערעורו הלין האב גם על סכום ההוצאות שפסק לו בית המשפט קמא, אך אציע לחבריי שלא </w:t>
      </w:r>
      <w:r w:rsidRPr="003F1DB3">
        <w:rPr>
          <w:rFonts w:hint="cs"/>
          <w:rtl/>
        </w:rPr>
        <w:t xml:space="preserve">           </w:t>
      </w:r>
      <w:r w:rsidRPr="003F1DB3">
        <w:rPr>
          <w:rtl/>
        </w:rPr>
        <w:t>להתערב ברכיב זה</w:t>
      </w:r>
      <w:r w:rsidRPr="003F1DB3">
        <w:rPr>
          <w:rFonts w:hint="cs"/>
          <w:rtl/>
        </w:rPr>
        <w:t>, הנתון לשיקול דעתה של הערכאה הדיונית ובו ממעטת ערכאת הערעור להתערב.</w:t>
      </w:r>
    </w:p>
    <w:p w:rsidR="00F45DA5" w:rsidRDefault="00F45DA5" w:rsidP="004A7FD2">
      <w:pPr>
        <w:pStyle w:val="ad"/>
        <w:numPr>
          <w:ilvl w:val="0"/>
          <w:numId w:val="1"/>
        </w:numPr>
        <w:spacing w:after="120" w:line="360" w:lineRule="auto"/>
        <w:ind w:left="368" w:hanging="368"/>
        <w:contextualSpacing w:val="0"/>
        <w:rPr>
          <w:b/>
          <w:bCs/>
        </w:rPr>
      </w:pPr>
      <w:r w:rsidRPr="00743795">
        <w:rPr>
          <w:rFonts w:hint="cs"/>
          <w:rtl/>
        </w:rPr>
        <w:t xml:space="preserve">בשים לב לתוצאות הערעור, </w:t>
      </w:r>
      <w:r>
        <w:rPr>
          <w:rFonts w:hint="cs"/>
          <w:rtl/>
        </w:rPr>
        <w:t xml:space="preserve">אמליץ כי </w:t>
      </w:r>
      <w:r w:rsidRPr="00743795">
        <w:rPr>
          <w:rFonts w:hint="cs"/>
          <w:rtl/>
        </w:rPr>
        <w:t xml:space="preserve">המשיבה תישא בהוצאות </w:t>
      </w:r>
      <w:r w:rsidRPr="00B31C7E">
        <w:rPr>
          <w:rFonts w:hint="cs"/>
          <w:rtl/>
        </w:rPr>
        <w:t>המערער בגין ערעור זה</w:t>
      </w:r>
      <w:r>
        <w:rPr>
          <w:rFonts w:hint="cs"/>
          <w:rtl/>
        </w:rPr>
        <w:t xml:space="preserve"> </w:t>
      </w:r>
      <w:r w:rsidRPr="00743795">
        <w:rPr>
          <w:rFonts w:hint="cs"/>
          <w:rtl/>
        </w:rPr>
        <w:t>בסך</w:t>
      </w:r>
      <w:r>
        <w:rPr>
          <w:rFonts w:hint="cs"/>
          <w:rtl/>
        </w:rPr>
        <w:t xml:space="preserve"> כולל של</w:t>
      </w:r>
      <w:r w:rsidRPr="00743795">
        <w:rPr>
          <w:rFonts w:hint="cs"/>
          <w:rtl/>
        </w:rPr>
        <w:t xml:space="preserve"> 10,000 ₪.</w:t>
      </w:r>
    </w:p>
    <w:p w:rsidR="00F45DA5" w:rsidRDefault="00F45DA5" w:rsidP="004A7FD2">
      <w:pPr>
        <w:spacing w:after="120" w:line="360" w:lineRule="auto"/>
        <w:jc w:val="both"/>
        <w:rPr>
          <w:b/>
          <w:bCs/>
          <w:rtl/>
        </w:rPr>
      </w:pPr>
    </w:p>
    <w:p w:rsidR="00F45DA5" w:rsidRDefault="00F45DA5" w:rsidP="004A7FD2">
      <w:pPr>
        <w:spacing w:after="120" w:line="360" w:lineRule="auto"/>
        <w:jc w:val="both"/>
      </w:pPr>
      <w:r w:rsidRPr="00B777FB">
        <w:rPr>
          <w:rFonts w:hint="cs"/>
          <w:b/>
          <w:bCs/>
          <w:u w:val="single"/>
          <w:rtl/>
        </w:rPr>
        <w:t>השופטת אספרנצה אלון</w:t>
      </w:r>
      <w:r>
        <w:rPr>
          <w:rFonts w:hint="cs"/>
          <w:b/>
          <w:bCs/>
          <w:u w:val="single"/>
          <w:rtl/>
        </w:rPr>
        <w:t>:</w:t>
      </w:r>
    </w:p>
    <w:p w:rsidR="00F45DA5" w:rsidRPr="000E7290" w:rsidRDefault="00F45DA5" w:rsidP="004A7FD2">
      <w:pPr>
        <w:pStyle w:val="ad"/>
        <w:numPr>
          <w:ilvl w:val="0"/>
          <w:numId w:val="3"/>
        </w:numPr>
        <w:spacing w:after="120" w:line="360" w:lineRule="auto"/>
        <w:ind w:left="425" w:hanging="425"/>
        <w:contextualSpacing w:val="0"/>
        <w:rPr>
          <w:b/>
          <w:bCs/>
          <w:rtl/>
        </w:rPr>
      </w:pPr>
      <w:r w:rsidRPr="002E308E">
        <w:rPr>
          <w:rFonts w:hint="cs"/>
          <w:rtl/>
        </w:rPr>
        <w:t>תמימת דעים אני עם חברי</w:t>
      </w:r>
      <w:r>
        <w:rPr>
          <w:rFonts w:hint="cs"/>
          <w:rtl/>
        </w:rPr>
        <w:t xml:space="preserve"> כב' השופט נאמן</w:t>
      </w:r>
      <w:r w:rsidRPr="002E308E">
        <w:rPr>
          <w:rFonts w:hint="cs"/>
          <w:rtl/>
        </w:rPr>
        <w:t xml:space="preserve"> באשר לתוצאה אליה הגיע</w:t>
      </w:r>
      <w:r>
        <w:rPr>
          <w:rFonts w:hint="cs"/>
          <w:rtl/>
        </w:rPr>
        <w:t>,</w:t>
      </w:r>
      <w:r w:rsidRPr="002E308E">
        <w:rPr>
          <w:rFonts w:hint="cs"/>
          <w:rtl/>
        </w:rPr>
        <w:t xml:space="preserve"> כי יש להורות על הכפלת סכום הפיצוי שנפסק באופן שיעמוד על 70,000 ₪. נימוקיי שונים. </w:t>
      </w:r>
    </w:p>
    <w:p w:rsidR="00F45DA5" w:rsidRPr="002E308E" w:rsidRDefault="00F45DA5" w:rsidP="004A7FD2">
      <w:pPr>
        <w:pStyle w:val="ad"/>
        <w:numPr>
          <w:ilvl w:val="0"/>
          <w:numId w:val="3"/>
        </w:numPr>
        <w:spacing w:after="120" w:line="360" w:lineRule="auto"/>
        <w:ind w:left="425" w:hanging="425"/>
        <w:contextualSpacing w:val="0"/>
      </w:pPr>
      <w:r w:rsidRPr="002E308E">
        <w:rPr>
          <w:rFonts w:hint="cs"/>
          <w:rtl/>
        </w:rPr>
        <w:t>בית משפט קמא מצא לנכון לקבוע את גובה הפיצוי המגיע לאב תוך עשיית שימוש בסעיף 7א(ב) לחוק איסור לשון הרע, התשכ"ה-1965 (להלן: "</w:t>
      </w:r>
      <w:r w:rsidRPr="000E7290">
        <w:rPr>
          <w:rFonts w:hint="cs"/>
          <w:b/>
          <w:bCs/>
          <w:rtl/>
        </w:rPr>
        <w:t>חוק איסור לשון הרע</w:t>
      </w:r>
      <w:r w:rsidRPr="002E308E">
        <w:rPr>
          <w:rFonts w:hint="cs"/>
          <w:rtl/>
        </w:rPr>
        <w:t>").</w:t>
      </w:r>
      <w:r w:rsidRPr="000E7290">
        <w:rPr>
          <w:rFonts w:hint="cs"/>
          <w:b/>
          <w:bCs/>
          <w:rtl/>
        </w:rPr>
        <w:t xml:space="preserve"> </w:t>
      </w:r>
      <w:r>
        <w:rPr>
          <w:rFonts w:hint="cs"/>
          <w:rtl/>
        </w:rPr>
        <w:t xml:space="preserve">חוק איסור לשון הרע </w:t>
      </w:r>
      <w:r w:rsidRPr="002E308E">
        <w:rPr>
          <w:rFonts w:hint="cs"/>
          <w:rtl/>
        </w:rPr>
        <w:t xml:space="preserve">מקנה לבית המשפט רשות לחייב את הנתבע לשלם לנפגע פיצוי ללא הוכחת נזק. למען הדיוק אציין כי בית משפט </w:t>
      </w:r>
      <w:r w:rsidRPr="002E308E">
        <w:rPr>
          <w:rFonts w:hint="cs"/>
          <w:rtl/>
        </w:rPr>
        <w:lastRenderedPageBreak/>
        <w:t>לא מצא לעשות שימוש ישיר בסעיף האמור אלא עשה שימוש דרך ההקבלה וההשאלה, או כלשונו, "</w:t>
      </w:r>
      <w:r w:rsidRPr="000E7290">
        <w:rPr>
          <w:rFonts w:hint="cs"/>
          <w:b/>
          <w:bCs/>
          <w:rtl/>
        </w:rPr>
        <w:t>לגזור את גובה הפיצוי מגובה הפיצוי לפי חוק איסור לשון הרע [...]</w:t>
      </w:r>
      <w:r w:rsidRPr="002E308E">
        <w:rPr>
          <w:rFonts w:hint="cs"/>
          <w:rtl/>
        </w:rPr>
        <w:t xml:space="preserve">" (עיינו פסקה 312 לפסק הדין קמא) וכן </w:t>
      </w:r>
      <w:r w:rsidRPr="000E7290">
        <w:rPr>
          <w:rFonts w:hint="cs"/>
          <w:b/>
          <w:bCs/>
          <w:rtl/>
        </w:rPr>
        <w:t>"לפסוק את הפיצוי בהשאלה מדיני לשון הרע [...]</w:t>
      </w:r>
      <w:r w:rsidRPr="002E308E">
        <w:rPr>
          <w:rFonts w:hint="cs"/>
          <w:rtl/>
        </w:rPr>
        <w:t>" (עיינו פסקה 313 לפסק הדין קמא).</w:t>
      </w:r>
    </w:p>
    <w:p w:rsidR="00F45DA5" w:rsidRPr="00F45DA5" w:rsidRDefault="00F45DA5" w:rsidP="004A7FD2">
      <w:pPr>
        <w:pStyle w:val="ad"/>
        <w:numPr>
          <w:ilvl w:val="0"/>
          <w:numId w:val="3"/>
        </w:numPr>
        <w:shd w:val="clear" w:color="auto" w:fill="FFFFFF"/>
        <w:spacing w:after="120" w:line="360" w:lineRule="auto"/>
        <w:ind w:left="425" w:hanging="425"/>
        <w:contextualSpacing w:val="0"/>
      </w:pPr>
      <w:r w:rsidRPr="002E308E">
        <w:rPr>
          <w:rFonts w:hint="cs"/>
          <w:rtl/>
        </w:rPr>
        <w:t xml:space="preserve">סבורני כי לא היה מקום לעשות הקבלה והשאלה משפטית זו. חוק איסור לשון הרע הינו חוק נזיקי ספציפי, נבדל, בעל הסדר פנימי ייחודי של פיצויים ללא הוכחת נזק. </w:t>
      </w:r>
      <w:r w:rsidRPr="000E7290">
        <w:rPr>
          <w:rFonts w:hint="cs"/>
          <w:b/>
          <w:bCs/>
          <w:rtl/>
        </w:rPr>
        <w:t>"</w:t>
      </w:r>
      <w:r w:rsidRPr="000E7290">
        <w:rPr>
          <w:b/>
          <w:bCs/>
          <w:rtl/>
        </w:rPr>
        <w:t>הדין העולה מ</w:t>
      </w:r>
      <w:hyperlink r:id="rId10" w:tgtFrame="blank" w:history="1">
        <w:r w:rsidRPr="000E7290">
          <w:rPr>
            <w:b/>
            <w:bCs/>
            <w:rtl/>
          </w:rPr>
          <w:t>חוק איסור לשון הרע</w:t>
        </w:r>
      </w:hyperlink>
      <w:r w:rsidRPr="000E7290">
        <w:rPr>
          <w:b/>
          <w:bCs/>
        </w:rPr>
        <w:t> </w:t>
      </w:r>
      <w:r w:rsidRPr="000E7290">
        <w:rPr>
          <w:b/>
          <w:bCs/>
          <w:rtl/>
        </w:rPr>
        <w:t>מהווה איזון עדין בין זכויות אדם מרכזיות במשטר דמוקרטי: זכות היסוד לשם טוב מזה וזכות היסוד לחופש הביטוי מזה</w:t>
      </w:r>
      <w:r w:rsidRPr="000E7290">
        <w:rPr>
          <w:b/>
          <w:bCs/>
        </w:rPr>
        <w:t xml:space="preserve"> "</w:t>
      </w:r>
      <w:r w:rsidRPr="000E7290">
        <w:rPr>
          <w:color w:val="000000"/>
          <w:rtl/>
        </w:rPr>
        <w:t xml:space="preserve">(עיינו ע"א 4534/02 </w:t>
      </w:r>
      <w:r w:rsidRPr="000E7290">
        <w:rPr>
          <w:b/>
          <w:bCs/>
          <w:color w:val="000000"/>
          <w:rtl/>
        </w:rPr>
        <w:t>רשת שוקן בע"מ נ' אילון לוני הרציקוביץ'</w:t>
      </w:r>
      <w:r w:rsidRPr="000E7290">
        <w:rPr>
          <w:color w:val="000000"/>
          <w:rtl/>
        </w:rPr>
        <w:t xml:space="preserve"> (נבו 04.03.2004)</w:t>
      </w:r>
      <w:r w:rsidRPr="002E308E">
        <w:rPr>
          <w:rFonts w:hint="cs"/>
          <w:rtl/>
        </w:rPr>
        <w:t xml:space="preserve">. תכלית הדין הקיים בהסדרו הפנימי של חוק איסור לשון הרע, הבא לאזן בין שתי זכויות </w:t>
      </w:r>
      <w:r w:rsidRPr="00F45DA5">
        <w:rPr>
          <w:rFonts w:hint="cs"/>
          <w:rtl/>
        </w:rPr>
        <w:t xml:space="preserve">יסוד המתנגשות זו עם זו, האחת הזכות לשם טוב והשנייה הזכות לחופש ביטוי, לרבות סעיף הפיצויים ללא הוכחת נזק שהינו כאמור ייחודי, שונה מן הדין הקיים עליו ביסס המערער תביעתו. </w:t>
      </w:r>
    </w:p>
    <w:p w:rsidR="00F45DA5" w:rsidRPr="00F45DA5" w:rsidRDefault="00F45DA5" w:rsidP="004A7FD2">
      <w:pPr>
        <w:pStyle w:val="ad"/>
        <w:numPr>
          <w:ilvl w:val="0"/>
          <w:numId w:val="3"/>
        </w:numPr>
        <w:shd w:val="clear" w:color="auto" w:fill="FFFFFF"/>
        <w:spacing w:after="120" w:line="360" w:lineRule="auto"/>
        <w:ind w:left="425"/>
        <w:contextualSpacing w:val="0"/>
      </w:pPr>
      <w:r w:rsidRPr="00F45DA5">
        <w:rPr>
          <w:rtl/>
        </w:rPr>
        <w:t xml:space="preserve"> ספק בעיני האם מעשי האם, שהינם פגומים וראויים לגינוי והוקעה, נופלים תחת גדרי חוק איסור לשון הרע והם בגדר "ביטוי", "לשון הרע", "פרסום" וכיו"ב. כידוע, "</w:t>
      </w:r>
      <w:r w:rsidRPr="00F45DA5">
        <w:rPr>
          <w:b/>
          <w:bCs/>
          <w:rtl/>
        </w:rPr>
        <w:t xml:space="preserve">מהלך הניתוח של טענת הפגיעה בשם הטוב, </w:t>
      </w:r>
      <w:r w:rsidRPr="00F45DA5">
        <w:rPr>
          <w:b/>
          <w:bCs/>
          <w:u w:val="single"/>
          <w:rtl/>
        </w:rPr>
        <w:t>המולידה עוולה בנזיקין ומזכה בפיצוי</w:t>
      </w:r>
      <w:r w:rsidRPr="00F45DA5">
        <w:rPr>
          <w:b/>
          <w:bCs/>
          <w:rtl/>
        </w:rPr>
        <w:t xml:space="preserve">, בנוי מארבעה שלבים. </w:t>
      </w:r>
      <w:r w:rsidRPr="00F45DA5">
        <w:rPr>
          <w:b/>
          <w:bCs/>
          <w:u w:val="single"/>
          <w:rtl/>
        </w:rPr>
        <w:t>ראשית, יש לפרש את הביטוי</w:t>
      </w:r>
      <w:r w:rsidRPr="00F45DA5">
        <w:rPr>
          <w:b/>
          <w:bCs/>
          <w:rtl/>
        </w:rPr>
        <w:t xml:space="preserve">, בהקשר אובייקטיבי, ולשאוב ממנו את המשמעות העולה ממנו [...]. </w:t>
      </w:r>
      <w:r w:rsidRPr="00F45DA5">
        <w:rPr>
          <w:b/>
          <w:bCs/>
          <w:u w:val="single"/>
          <w:rtl/>
        </w:rPr>
        <w:t>שנית, יש לבחון האם על פי משמעות זו, מהווים הדברים "לשון הרע" על פי סעיף 1 לחוק, והאם אופן אמירתם מהווה "פרסום" כמשמעותו על פי מבחני סעיף 2 לחוק</w:t>
      </w:r>
      <w:r w:rsidRPr="00F45DA5">
        <w:rPr>
          <w:b/>
          <w:bCs/>
          <w:rtl/>
        </w:rPr>
        <w:t>. בשלב שלישי [...]."</w:t>
      </w:r>
      <w:r w:rsidRPr="00F45DA5">
        <w:rPr>
          <w:rtl/>
        </w:rPr>
        <w:t xml:space="preserve"> (ע"א 89/04 </w:t>
      </w:r>
      <w:r w:rsidRPr="00F45DA5">
        <w:rPr>
          <w:b/>
          <w:bCs/>
          <w:rtl/>
        </w:rPr>
        <w:t>ד"ר יולי נודלמן נ' נתן שרנסקי </w:t>
      </w:r>
      <w:r w:rsidRPr="00F45DA5">
        <w:rPr>
          <w:rtl/>
        </w:rPr>
        <w:t>(נבו 04.08.2008)‏‏ [ההדגשות אינן במקור – א.א.]. בית משפט קמא "דילג" בין שלב הוכחת העוולה אשר היא זו "</w:t>
      </w:r>
      <w:r w:rsidRPr="00F45DA5">
        <w:rPr>
          <w:b/>
          <w:bCs/>
          <w:rtl/>
        </w:rPr>
        <w:t>המולידה עוולה בנזיקין ומזכה בפיצוי</w:t>
      </w:r>
      <w:r w:rsidRPr="00F45DA5">
        <w:rPr>
          <w:rtl/>
        </w:rPr>
        <w:t xml:space="preserve">", הישר אל שלב הפיצוי ללא הוכחת נזק. </w:t>
      </w:r>
      <w:r w:rsidRPr="00F45DA5">
        <w:rPr>
          <w:color w:val="000000"/>
          <w:rtl/>
        </w:rPr>
        <w:t xml:space="preserve">סבורני כי יש לפעול בזהירות רבה עת באים ליטול פסקה אחת מתוך הסדר חקיקתי אחד ומרכיבים אותה על הסדר חקיקתי אחר, שהרי לכל דבר חקיקה יש תכלית שונה, היוצרת הסדרים פנים חקיקתיים שונים. </w:t>
      </w:r>
    </w:p>
    <w:p w:rsidR="00F45DA5" w:rsidRPr="00D80471" w:rsidRDefault="00F45DA5" w:rsidP="004A7FD2">
      <w:pPr>
        <w:pStyle w:val="ad"/>
        <w:numPr>
          <w:ilvl w:val="0"/>
          <w:numId w:val="3"/>
        </w:numPr>
        <w:shd w:val="clear" w:color="auto" w:fill="FFFFFF"/>
        <w:spacing w:after="120" w:line="360" w:lineRule="auto"/>
        <w:ind w:left="425" w:hanging="425"/>
        <w:contextualSpacing w:val="0"/>
      </w:pPr>
      <w:r w:rsidRPr="00F45DA5">
        <w:rPr>
          <w:rFonts w:hint="cs"/>
          <w:rtl/>
        </w:rPr>
        <w:t>לעניין זה אפנה אל ר</w:t>
      </w:r>
      <w:r w:rsidRPr="00F45DA5">
        <w:rPr>
          <w:rtl/>
        </w:rPr>
        <w:t>ע"א 1497/06 </w:t>
      </w:r>
      <w:r w:rsidRPr="00F45DA5">
        <w:rPr>
          <w:b/>
          <w:bCs/>
          <w:rtl/>
        </w:rPr>
        <w:t>פלוני נ' פלוני</w:t>
      </w:r>
      <w:r w:rsidRPr="00F45DA5">
        <w:rPr>
          <w:rtl/>
        </w:rPr>
        <w:t> (נבו 10.09.2006)‏‏</w:t>
      </w:r>
      <w:r w:rsidRPr="00F45DA5">
        <w:rPr>
          <w:rFonts w:hint="cs"/>
          <w:rtl/>
        </w:rPr>
        <w:t xml:space="preserve"> שם נפסק</w:t>
      </w:r>
      <w:r w:rsidRPr="00F45DA5">
        <w:rPr>
          <w:rtl/>
        </w:rPr>
        <w:t xml:space="preserve"> מפי השופט א' רובינשטיין</w:t>
      </w:r>
      <w:r>
        <w:rPr>
          <w:rtl/>
        </w:rPr>
        <w:t xml:space="preserve"> </w:t>
      </w:r>
      <w:r w:rsidRPr="002E308E">
        <w:rPr>
          <w:rFonts w:hint="cs"/>
          <w:rtl/>
        </w:rPr>
        <w:t xml:space="preserve"> כי אין להקיש מחוק איסור לשון הרע לעניין הנזק, כדלקמן: </w:t>
      </w:r>
      <w:r w:rsidRPr="000E7290">
        <w:rPr>
          <w:b/>
          <w:bCs/>
          <w:color w:val="000000"/>
          <w:rtl/>
        </w:rPr>
        <w:t>"אוסיף, כי לא אוכל לקבל אף את טענת המבקשים, לפיה יש להקיש לענייננו מחוק איסור לשון הרע, מכוחו ניתן לפסוק לניזוק פיצוי בשיעור 50,000 ₪ ללא הוכחת נזק. הפיצוי דהתם הוא פיצוי סטטוטורי, אשר בבסיסו עומדות מטרות שונות ממטרותיו של הפיצוי העונשי, ועניינן (בעיקר) במתן אפשרות לניזוק לזכות בסעד בגין נזק שנגרם לו בעוולה, גם מקום שנזק זה קשה להוכחה (ע"א 592/88 שגיא ואח' נ' עזבון המנוח אברהם ניניו ז"ל ואח' פ"ד מו(2) 254, 264, 270 (הנשיא שמגר)</w:t>
      </w:r>
      <w:r w:rsidRPr="000E7290">
        <w:rPr>
          <w:rFonts w:hint="cs"/>
          <w:b/>
          <w:bCs/>
          <w:color w:val="000000"/>
          <w:rtl/>
        </w:rPr>
        <w:t xml:space="preserve"> פסקה ד' (4) עמ' 7 לפסק הדין</w:t>
      </w:r>
      <w:r w:rsidRPr="000E7290">
        <w:rPr>
          <w:b/>
          <w:bCs/>
          <w:color w:val="000000"/>
          <w:rtl/>
        </w:rPr>
        <w:t>)</w:t>
      </w:r>
      <w:r w:rsidRPr="000E7290">
        <w:rPr>
          <w:rFonts w:hint="cs"/>
          <w:color w:val="000000"/>
          <w:rtl/>
        </w:rPr>
        <w:t xml:space="preserve">". </w:t>
      </w:r>
    </w:p>
    <w:p w:rsidR="00F45DA5" w:rsidRPr="002E308E" w:rsidRDefault="00F45DA5" w:rsidP="004A7FD2">
      <w:pPr>
        <w:pStyle w:val="ad"/>
        <w:shd w:val="clear" w:color="auto" w:fill="FFFFFF"/>
        <w:spacing w:after="120" w:line="360" w:lineRule="auto"/>
        <w:ind w:left="425"/>
        <w:contextualSpacing w:val="0"/>
        <w:rPr>
          <w:rtl/>
        </w:rPr>
      </w:pPr>
      <w:r w:rsidRPr="00F45DA5">
        <w:rPr>
          <w:color w:val="000000"/>
          <w:rtl/>
        </w:rPr>
        <w:t xml:space="preserve">כן אפנה לע"א (מחוזי חיפה) 2279/01 </w:t>
      </w:r>
      <w:r w:rsidRPr="00F45DA5">
        <w:rPr>
          <w:b/>
          <w:bCs/>
          <w:color w:val="000000"/>
          <w:rtl/>
        </w:rPr>
        <w:t>חיים ביטון נ' בנק דיסקונט לישראל בע"מ</w:t>
      </w:r>
      <w:r w:rsidRPr="00F45DA5">
        <w:rPr>
          <w:color w:val="000000"/>
          <w:rtl/>
        </w:rPr>
        <w:t xml:space="preserve"> (נבו 14.03.2002)</w:t>
      </w:r>
      <w:r w:rsidRPr="00F45DA5">
        <w:rPr>
          <w:rtl/>
        </w:rPr>
        <w:t xml:space="preserve">, שם דן הרכב השופטים י' גריל, י' דר, ר' שפירא, בערעור על שיעור הפיצוי שנפסק למערער, בסכום של 25,000 ₪, שלטענתו נמוך היה במידה המחייבת את התערבותה של ערכאת הערעור. המשיבה פגעה שלא כדין באוטונומיה הפרטית של המערער בכך שנקטה נגדו בהליכי עיקול והליכי מאסר, תוך פגיעה בזכויות היסוד של המערער ולכן טען כי יש לפסוק לזכותו פיצוי העולה באופן ניכר מעבר לפיצוי שנפסק. בטיעונו </w:t>
      </w:r>
      <w:r w:rsidRPr="00F45DA5">
        <w:rPr>
          <w:rtl/>
        </w:rPr>
        <w:lastRenderedPageBreak/>
        <w:t>ביקש ב"כ המערער להקיש משיעור הפיצוי שנפסק ללא הוכחת נזק, לפי חוק איסור לשון הרע. כך</w:t>
      </w:r>
      <w:r w:rsidRPr="00F45DA5">
        <w:rPr>
          <w:rFonts w:hint="cs"/>
          <w:rtl/>
        </w:rPr>
        <w:t xml:space="preserve"> נפסק שם: </w:t>
      </w:r>
      <w:r w:rsidRPr="00F45DA5">
        <w:rPr>
          <w:b/>
          <w:bCs/>
          <w:rtl/>
        </w:rPr>
        <w:t>"נוסיף, שאין מקום להקיש לענייננו מן האמור בחוק איסור לשון הרע באשר לפיצוי ללא הוכחת נזק או מן האמור בהלכה הפסוקה באשר לשיעורו של הפיצוי בתביעה בגין לשון הרע, לענין הנדון בפנינו. המדובר בסוגיות משפטיות שונות. השיקולים המשפטיים המנחים בכל הנוגע לקביעת שיעור</w:t>
      </w:r>
      <w:r w:rsidRPr="000E7290">
        <w:rPr>
          <w:b/>
          <w:bCs/>
          <w:rtl/>
        </w:rPr>
        <w:t xml:space="preserve"> הפיצוי בגין לשון הרע אינם בהכרח זהים לשיקולים המנחים בקביעת שיעורו של הפיצוי בענין הנדון כאן בפנינו, ולמותר להזכיר, שעל ביהמ"ש לפסוק ולהכריע בכל ענין על פי נסיבותיו ובהתאם לשיקולים הענייניים והמשפטיים המתאימים לסוגיה העומדת לדיון</w:t>
      </w:r>
      <w:r w:rsidRPr="000E7290">
        <w:rPr>
          <w:rFonts w:hint="cs"/>
          <w:b/>
          <w:bCs/>
          <w:rtl/>
        </w:rPr>
        <w:t>".</w:t>
      </w:r>
      <w:r w:rsidRPr="002E308E">
        <w:rPr>
          <w:rFonts w:hint="cs"/>
          <w:rtl/>
        </w:rPr>
        <w:t xml:space="preserve"> (הרכב השופטים י' גריל, י' דר, ר' שפירא פסקה ט' עמ' 4 לפסק הדין). </w:t>
      </w:r>
    </w:p>
    <w:p w:rsidR="00F45DA5" w:rsidRPr="002E308E" w:rsidRDefault="00F45DA5" w:rsidP="004A7FD2">
      <w:pPr>
        <w:pStyle w:val="ad"/>
        <w:numPr>
          <w:ilvl w:val="0"/>
          <w:numId w:val="3"/>
        </w:numPr>
        <w:shd w:val="clear" w:color="auto" w:fill="FFFFFF"/>
        <w:spacing w:after="120" w:line="360" w:lineRule="auto"/>
        <w:ind w:left="425" w:hanging="425"/>
        <w:contextualSpacing w:val="0"/>
        <w:rPr>
          <w:rtl/>
        </w:rPr>
      </w:pPr>
      <w:r w:rsidRPr="002E308E">
        <w:rPr>
          <w:rFonts w:hint="cs"/>
          <w:rtl/>
        </w:rPr>
        <w:t>מקריאת פסק דינו של בית מש</w:t>
      </w:r>
      <w:r w:rsidRPr="002E308E">
        <w:rPr>
          <w:rtl/>
        </w:rPr>
        <w:t xml:space="preserve">פט קמא </w:t>
      </w:r>
      <w:r w:rsidRPr="002E308E">
        <w:rPr>
          <w:rFonts w:hint="cs"/>
          <w:rtl/>
        </w:rPr>
        <w:t xml:space="preserve">עולה כי זה </w:t>
      </w:r>
      <w:r w:rsidRPr="002E308E">
        <w:rPr>
          <w:rtl/>
        </w:rPr>
        <w:t>לא חסך דבר</w:t>
      </w:r>
      <w:r w:rsidRPr="002E308E">
        <w:rPr>
          <w:rFonts w:hint="cs"/>
          <w:rtl/>
        </w:rPr>
        <w:t>י</w:t>
      </w:r>
      <w:r w:rsidRPr="002E308E">
        <w:rPr>
          <w:rtl/>
        </w:rPr>
        <w:t>ו מפעולות האם</w:t>
      </w:r>
      <w:r w:rsidRPr="002E308E">
        <w:rPr>
          <w:rFonts w:hint="cs"/>
          <w:rtl/>
        </w:rPr>
        <w:t xml:space="preserve"> (ראו גם סעיף 11 לחוות דעת חברי). אכן </w:t>
      </w:r>
      <w:r w:rsidRPr="002E308E">
        <w:rPr>
          <w:rtl/>
        </w:rPr>
        <w:t xml:space="preserve">יש להביע סלידה מהסתרת לידה של בן, </w:t>
      </w:r>
      <w:r w:rsidRPr="002E308E">
        <w:rPr>
          <w:rFonts w:hint="cs"/>
          <w:rtl/>
        </w:rPr>
        <w:t xml:space="preserve">כמו כן </w:t>
      </w:r>
      <w:r w:rsidRPr="002E308E">
        <w:rPr>
          <w:rtl/>
        </w:rPr>
        <w:t xml:space="preserve">הסתרה </w:t>
      </w:r>
      <w:r w:rsidRPr="002E308E">
        <w:rPr>
          <w:rFonts w:hint="cs"/>
          <w:rtl/>
        </w:rPr>
        <w:t>וקיום</w:t>
      </w:r>
      <w:r w:rsidRPr="002E308E">
        <w:rPr>
          <w:rtl/>
        </w:rPr>
        <w:t xml:space="preserve"> ברית מילה</w:t>
      </w:r>
      <w:r w:rsidRPr="002E308E">
        <w:rPr>
          <w:rFonts w:hint="cs"/>
          <w:rtl/>
        </w:rPr>
        <w:t xml:space="preserve"> של בן בהיחבא</w:t>
      </w:r>
      <w:r w:rsidRPr="002E308E">
        <w:rPr>
          <w:rtl/>
        </w:rPr>
        <w:t>.</w:t>
      </w:r>
      <w:r w:rsidRPr="002E308E">
        <w:rPr>
          <w:rFonts w:hint="cs"/>
          <w:rtl/>
        </w:rPr>
        <w:t xml:space="preserve"> שני האירועים הינם אירועים מכוננים בחייו של אדם בחברה הישראלית. דרך הגינוי הנתונה לבית המשפט היא על דרך קביעה של פיצויים עונשיים.</w:t>
      </w:r>
      <w:r w:rsidRPr="002E308E">
        <w:rPr>
          <w:rtl/>
        </w:rPr>
        <w:t xml:space="preserve"> </w:t>
      </w:r>
    </w:p>
    <w:p w:rsidR="00F45DA5" w:rsidRPr="002E308E" w:rsidRDefault="00F45DA5" w:rsidP="004A7FD2">
      <w:pPr>
        <w:pStyle w:val="ad"/>
        <w:shd w:val="clear" w:color="auto" w:fill="FFFFFF"/>
        <w:spacing w:after="120" w:line="360" w:lineRule="auto"/>
        <w:ind w:left="425" w:hanging="425"/>
        <w:contextualSpacing w:val="0"/>
      </w:pPr>
      <w:r>
        <w:rPr>
          <w:rtl/>
        </w:rPr>
        <w:tab/>
      </w:r>
      <w:r w:rsidRPr="002E308E">
        <w:rPr>
          <w:rtl/>
        </w:rPr>
        <w:t>כידוע, "</w:t>
      </w:r>
      <w:r w:rsidRPr="002E308E">
        <w:rPr>
          <w:b/>
          <w:bCs/>
          <w:rtl/>
        </w:rPr>
        <w:t>הפסיקה הישראלית הכירה, כמעט מראשית דרכה, באפשרות לפסוק פיצויים עונשיים [...]</w:t>
      </w:r>
      <w:r w:rsidRPr="002E308E">
        <w:rPr>
          <w:rFonts w:hint="cs"/>
          <w:b/>
          <w:bCs/>
          <w:rtl/>
        </w:rPr>
        <w:t>.</w:t>
      </w:r>
      <w:r w:rsidRPr="002E308E">
        <w:rPr>
          <w:b/>
          <w:bCs/>
          <w:rtl/>
        </w:rPr>
        <w:t xml:space="preserve"> פיצויים אלה "לא באו להשיב את מצבו של הניזוק לקדמותו. הם מעניקים לו פיצוי העולה על נזקו. הם נועדו לשקף את סלידתה של החברה מהתנהגותו של המזיק" </w:t>
      </w:r>
      <w:r w:rsidRPr="002E308E">
        <w:rPr>
          <w:rFonts w:hint="cs"/>
          <w:rtl/>
        </w:rPr>
        <w:t>(</w:t>
      </w:r>
      <w:r w:rsidRPr="002E308E">
        <w:rPr>
          <w:color w:val="000000"/>
          <w:rtl/>
        </w:rPr>
        <w:t xml:space="preserve">ע"א 9474/03 </w:t>
      </w:r>
      <w:r w:rsidRPr="002E308E">
        <w:rPr>
          <w:b/>
          <w:bCs/>
          <w:color w:val="000000"/>
          <w:rtl/>
        </w:rPr>
        <w:t>יורם גדיש תשתית ובנייה (1992) בע"מ נ' בהג'את מוסא</w:t>
      </w:r>
      <w:r w:rsidRPr="002E308E">
        <w:rPr>
          <w:color w:val="000000"/>
          <w:rtl/>
        </w:rPr>
        <w:t>, סא(3)</w:t>
      </w:r>
      <w:r w:rsidRPr="002E308E">
        <w:rPr>
          <w:rFonts w:hint="cs"/>
          <w:color w:val="000000"/>
          <w:rtl/>
        </w:rPr>
        <w:t xml:space="preserve"> 603 (2006)). </w:t>
      </w:r>
      <w:r w:rsidRPr="002E308E">
        <w:rPr>
          <w:b/>
          <w:bCs/>
          <w:rtl/>
        </w:rPr>
        <w:t>"מטרתם של הפיצויים העונשיים היא להעניש את המזיק... ובמיוחד להרתיע את המזיק ואחרים. [...]"</w:t>
      </w:r>
      <w:r w:rsidRPr="002E308E">
        <w:rPr>
          <w:rFonts w:hint="cs"/>
          <w:b/>
          <w:bCs/>
          <w:rtl/>
        </w:rPr>
        <w:t xml:space="preserve"> </w:t>
      </w:r>
      <w:r w:rsidRPr="002E308E">
        <w:rPr>
          <w:rFonts w:hint="cs"/>
          <w:rtl/>
        </w:rPr>
        <w:t>(</w:t>
      </w:r>
      <w:r w:rsidRPr="002E308E">
        <w:rPr>
          <w:rtl/>
        </w:rPr>
        <w:t>רע"א 1497/06 </w:t>
      </w:r>
      <w:r w:rsidRPr="002E308E">
        <w:rPr>
          <w:b/>
          <w:bCs/>
          <w:rtl/>
        </w:rPr>
        <w:t>פלוני נ' פלוני</w:t>
      </w:r>
      <w:r w:rsidRPr="002E308E">
        <w:rPr>
          <w:rtl/>
        </w:rPr>
        <w:t> (נבו 10.09.2006)‏</w:t>
      </w:r>
      <w:r w:rsidRPr="002E308E">
        <w:rPr>
          <w:color w:val="000000"/>
          <w:rtl/>
        </w:rPr>
        <w:t>‏</w:t>
      </w:r>
      <w:r w:rsidRPr="002E308E">
        <w:rPr>
          <w:rFonts w:hint="cs"/>
          <w:color w:val="000000"/>
          <w:rtl/>
        </w:rPr>
        <w:t>).</w:t>
      </w:r>
      <w:r w:rsidRPr="002E308E">
        <w:rPr>
          <w:color w:val="000000"/>
          <w:rtl/>
        </w:rPr>
        <w:t xml:space="preserve"> "</w:t>
      </w:r>
      <w:r w:rsidRPr="002E308E">
        <w:rPr>
          <w:b/>
          <w:bCs/>
          <w:color w:val="000000"/>
          <w:rtl/>
        </w:rPr>
        <w:t>החלטה על פיצויים עונשיים בתיק אזרחי היא עניין חריג, במקרים מקוממים ומסלידים במיוחד, ובפרט כאלה שיש עמם מעין כוונה</w:t>
      </w:r>
      <w:r w:rsidRPr="002E308E">
        <w:rPr>
          <w:color w:val="000000"/>
          <w:rtl/>
        </w:rPr>
        <w:t xml:space="preserve">" </w:t>
      </w:r>
      <w:r w:rsidRPr="002E308E">
        <w:rPr>
          <w:rtl/>
        </w:rPr>
        <w:t>ע"א 9656/03 </w:t>
      </w:r>
      <w:r w:rsidRPr="002E308E">
        <w:rPr>
          <w:b/>
          <w:bCs/>
          <w:rtl/>
        </w:rPr>
        <w:t>עזבון המנוחה ברטה מרציאנו ז"ל נ' ד"ר זינגר יהורם</w:t>
      </w:r>
      <w:r w:rsidRPr="002E308E">
        <w:rPr>
          <w:rtl/>
        </w:rPr>
        <w:t> (נבו 11.04.2005)‏</w:t>
      </w:r>
      <w:r w:rsidRPr="002E308E">
        <w:rPr>
          <w:color w:val="000000"/>
          <w:rtl/>
        </w:rPr>
        <w:t>‏.</w:t>
      </w:r>
      <w:r w:rsidRPr="002E308E">
        <w:rPr>
          <w:rFonts w:hint="cs"/>
          <w:color w:val="000000"/>
          <w:rtl/>
        </w:rPr>
        <w:t xml:space="preserve"> </w:t>
      </w:r>
    </w:p>
    <w:p w:rsidR="00F45DA5" w:rsidRDefault="00F45DA5" w:rsidP="004A7FD2">
      <w:pPr>
        <w:pStyle w:val="ad"/>
        <w:numPr>
          <w:ilvl w:val="0"/>
          <w:numId w:val="3"/>
        </w:numPr>
        <w:shd w:val="clear" w:color="auto" w:fill="FFFFFF"/>
        <w:spacing w:after="120" w:line="360" w:lineRule="auto"/>
        <w:ind w:left="425" w:hanging="425"/>
        <w:contextualSpacing w:val="0"/>
      </w:pPr>
      <w:r w:rsidRPr="002E308E">
        <w:rPr>
          <w:rFonts w:hint="cs"/>
          <w:rtl/>
        </w:rPr>
        <w:t xml:space="preserve">אכן, </w:t>
      </w:r>
      <w:r w:rsidRPr="002E308E">
        <w:rPr>
          <w:rtl/>
        </w:rPr>
        <w:t>"</w:t>
      </w:r>
      <w:r w:rsidRPr="000E7290">
        <w:rPr>
          <w:b/>
          <w:bCs/>
          <w:rtl/>
        </w:rPr>
        <w:t>בית המשפט לא ייטה לפסוק פיצויים עונשיים במסגרת הליך אזרחי, אלא במקרים חריגים"</w:t>
      </w:r>
      <w:r w:rsidRPr="002E308E">
        <w:rPr>
          <w:rFonts w:hint="cs"/>
          <w:rtl/>
        </w:rPr>
        <w:t xml:space="preserve"> (</w:t>
      </w:r>
      <w:r w:rsidRPr="000E7290">
        <w:rPr>
          <w:color w:val="000000"/>
          <w:rtl/>
        </w:rPr>
        <w:t xml:space="preserve">ע"א 8382/04 </w:t>
      </w:r>
      <w:r w:rsidRPr="000E7290">
        <w:rPr>
          <w:b/>
          <w:bCs/>
          <w:rtl/>
        </w:rPr>
        <w:t xml:space="preserve">הסתדרות מדיצינית </w:t>
      </w:r>
      <w:r w:rsidRPr="000E7290">
        <w:rPr>
          <w:b/>
          <w:bCs/>
          <w:color w:val="000000"/>
          <w:rtl/>
        </w:rPr>
        <w:t>הדסה נ' רויטל מזרחי</w:t>
      </w:r>
      <w:r w:rsidRPr="000E7290">
        <w:rPr>
          <w:color w:val="000000"/>
          <w:rtl/>
        </w:rPr>
        <w:t xml:space="preserve"> (נבו 02.02.2006)</w:t>
      </w:r>
      <w:r w:rsidRPr="000E7290">
        <w:rPr>
          <w:rFonts w:hint="cs"/>
          <w:color w:val="000000"/>
          <w:rtl/>
        </w:rPr>
        <w:t xml:space="preserve">), אך </w:t>
      </w:r>
      <w:r w:rsidRPr="002E308E">
        <w:rPr>
          <w:rFonts w:hint="cs"/>
          <w:rtl/>
        </w:rPr>
        <w:t>נוכח נסיבות המקרה החריגות והחמורות שוכנעתי כי יש לפסוק פיצוי גלו</w:t>
      </w:r>
      <w:r>
        <w:rPr>
          <w:rFonts w:hint="cs"/>
          <w:rtl/>
        </w:rPr>
        <w:t>בלי כולל לרבות פיצויים עונשיים.</w:t>
      </w:r>
    </w:p>
    <w:p w:rsidR="00F45DA5" w:rsidRDefault="00F45DA5" w:rsidP="004A7FD2">
      <w:pPr>
        <w:pStyle w:val="ad"/>
        <w:numPr>
          <w:ilvl w:val="0"/>
          <w:numId w:val="3"/>
        </w:numPr>
        <w:shd w:val="clear" w:color="auto" w:fill="FFFFFF"/>
        <w:spacing w:after="120" w:line="360" w:lineRule="auto"/>
        <w:ind w:left="425" w:hanging="425"/>
        <w:contextualSpacing w:val="0"/>
      </w:pPr>
      <w:r w:rsidRPr="002F6BB4">
        <w:rPr>
          <w:rFonts w:hint="cs"/>
          <w:rtl/>
        </w:rPr>
        <w:t xml:space="preserve">כאמור, מנימוקיי אלו מקבלת אני את התוצאה לפיה יש להתערב בסכום שפסק בית משפט קמא לסך של 70,000 ₪. </w:t>
      </w:r>
    </w:p>
    <w:p w:rsidR="00F45DA5" w:rsidRDefault="00F45DA5" w:rsidP="004A7FD2">
      <w:pPr>
        <w:shd w:val="clear" w:color="auto" w:fill="FFFFFF"/>
        <w:spacing w:after="120" w:line="360" w:lineRule="auto"/>
        <w:ind w:left="-418"/>
        <w:jc w:val="both"/>
        <w:rPr>
          <w:b/>
          <w:bCs/>
          <w:u w:val="single"/>
          <w:rtl/>
        </w:rPr>
      </w:pPr>
    </w:p>
    <w:p w:rsidR="00F45DA5" w:rsidRPr="00F45DA5" w:rsidRDefault="00F45DA5" w:rsidP="004A7FD2">
      <w:pPr>
        <w:shd w:val="clear" w:color="auto" w:fill="FFFFFF"/>
        <w:spacing w:after="120" w:line="360" w:lineRule="auto"/>
        <w:jc w:val="both"/>
        <w:rPr>
          <w:b/>
          <w:bCs/>
          <w:rtl/>
        </w:rPr>
      </w:pPr>
      <w:r w:rsidRPr="00F45DA5">
        <w:rPr>
          <w:rFonts w:hint="cs"/>
          <w:b/>
          <w:bCs/>
          <w:u w:val="single"/>
          <w:rtl/>
        </w:rPr>
        <w:t>השופט חננאל שרעבי (אב"ד)</w:t>
      </w:r>
      <w:r w:rsidRPr="00F45DA5">
        <w:rPr>
          <w:rFonts w:hint="cs"/>
          <w:b/>
          <w:bCs/>
          <w:rtl/>
        </w:rPr>
        <w:t>:</w:t>
      </w:r>
    </w:p>
    <w:p w:rsidR="00F45DA5" w:rsidRPr="00F45DA5" w:rsidRDefault="00F45DA5" w:rsidP="004A7FD2">
      <w:pPr>
        <w:pStyle w:val="ad"/>
        <w:numPr>
          <w:ilvl w:val="0"/>
          <w:numId w:val="4"/>
        </w:numPr>
        <w:shd w:val="clear" w:color="auto" w:fill="FFFFFF"/>
        <w:spacing w:after="120" w:line="360" w:lineRule="auto"/>
        <w:ind w:left="425" w:hanging="425"/>
        <w:contextualSpacing w:val="0"/>
      </w:pPr>
      <w:r w:rsidRPr="00F45DA5">
        <w:rPr>
          <w:rFonts w:hint="cs"/>
          <w:rtl/>
        </w:rPr>
        <w:t>אני מצטרף לפסק דינו של חברי, כב' השופט נאמן על נימוקיו, בהסתייגות מסויימת כפי שאפרט בסעיף 3 להלן.</w:t>
      </w:r>
    </w:p>
    <w:p w:rsidR="00F45DA5" w:rsidRPr="00F45DA5" w:rsidRDefault="00F45DA5" w:rsidP="004A7FD2">
      <w:pPr>
        <w:pStyle w:val="ad"/>
        <w:numPr>
          <w:ilvl w:val="0"/>
          <w:numId w:val="4"/>
        </w:numPr>
        <w:shd w:val="clear" w:color="auto" w:fill="FFFFFF"/>
        <w:spacing w:after="120" w:line="360" w:lineRule="auto"/>
        <w:ind w:left="425" w:hanging="425"/>
        <w:contextualSpacing w:val="0"/>
      </w:pPr>
      <w:r w:rsidRPr="00F45DA5">
        <w:rPr>
          <w:rFonts w:hint="cs"/>
          <w:rtl/>
        </w:rPr>
        <w:t>משבחר בית משפט קמא לפסוק במקרה דנן פיצויים נזיקיים ולא פיצויים עונשיים, ראוי שלא להתערב בשיקול דעת זה, ואך להגדיל הפיצוי הנזיקי בהתאם לחומרת הנסיבות דנן ונזקיו הכללים של המערער, כמתואר בהרחבה בפסק דינו של כב' השופט נאמן.</w:t>
      </w:r>
    </w:p>
    <w:p w:rsidR="00F45DA5" w:rsidRPr="00F45DA5" w:rsidRDefault="00F45DA5" w:rsidP="004A7FD2">
      <w:pPr>
        <w:pStyle w:val="ad"/>
        <w:numPr>
          <w:ilvl w:val="0"/>
          <w:numId w:val="4"/>
        </w:numPr>
        <w:shd w:val="clear" w:color="auto" w:fill="FFFFFF"/>
        <w:spacing w:after="120" w:line="360" w:lineRule="auto"/>
        <w:ind w:left="425" w:hanging="425"/>
        <w:contextualSpacing w:val="0"/>
        <w:rPr>
          <w:rtl/>
        </w:rPr>
      </w:pPr>
      <w:r w:rsidRPr="00F45DA5">
        <w:rPr>
          <w:rFonts w:hint="cs"/>
          <w:rtl/>
        </w:rPr>
        <w:lastRenderedPageBreak/>
        <w:t>במצב דברים זה, ומששוכנעתי כי סכום הפיצוי הנזיקי (להבדיל מהעונשי)</w:t>
      </w:r>
      <w:r w:rsidRPr="00F45DA5">
        <w:rPr>
          <w:rFonts w:hint="cs"/>
          <w:b/>
          <w:bCs/>
          <w:rtl/>
        </w:rPr>
        <w:t xml:space="preserve"> </w:t>
      </w:r>
      <w:r w:rsidRPr="00F45DA5">
        <w:rPr>
          <w:rFonts w:hint="cs"/>
          <w:b/>
          <w:bCs/>
          <w:u w:val="single"/>
          <w:rtl/>
        </w:rPr>
        <w:t>הראוי</w:t>
      </w:r>
      <w:r w:rsidRPr="00F45DA5">
        <w:rPr>
          <w:rFonts w:hint="cs"/>
          <w:rtl/>
        </w:rPr>
        <w:t xml:space="preserve"> הוא 70,000 ₪, אין לי צורך להכריע במחלוקת שהתגלעה בין חבריי לענין ההיקש או ההשוואה לפיצויי לשון הרע כשעסקינן בפיצויים נזיקיים (להבדיל מעונשיים), שהינם סטטוטוריים. יש פנים לכאן ולכאן ועמדו על כך חבריי. אשאיר נקודה זאת בצריך עיון ולהכרעה לעת מצוא. </w:t>
      </w:r>
    </w:p>
    <w:p w:rsidR="00F45DA5" w:rsidRDefault="00F45DA5" w:rsidP="004A7FD2">
      <w:pPr>
        <w:shd w:val="clear" w:color="auto" w:fill="FFFFFF"/>
        <w:spacing w:after="120" w:line="360" w:lineRule="auto"/>
        <w:ind w:left="-418"/>
        <w:jc w:val="both"/>
        <w:rPr>
          <w:rtl/>
        </w:rPr>
      </w:pPr>
    </w:p>
    <w:p w:rsidR="00F45DA5" w:rsidRDefault="00F45DA5" w:rsidP="004A7FD2">
      <w:pPr>
        <w:shd w:val="clear" w:color="auto" w:fill="FFFFFF"/>
        <w:spacing w:after="120" w:line="360" w:lineRule="auto"/>
        <w:jc w:val="both"/>
        <w:rPr>
          <w:b/>
          <w:bCs/>
          <w:u w:val="single"/>
          <w:rtl/>
        </w:rPr>
      </w:pPr>
      <w:r w:rsidRPr="000E7290">
        <w:rPr>
          <w:rFonts w:hint="cs"/>
          <w:b/>
          <w:bCs/>
          <w:u w:val="single"/>
          <w:rtl/>
        </w:rPr>
        <w:t>סוף דבר</w:t>
      </w:r>
    </w:p>
    <w:p w:rsidR="00F45DA5" w:rsidRDefault="00F45DA5" w:rsidP="004A7FD2">
      <w:pPr>
        <w:shd w:val="clear" w:color="auto" w:fill="FFFFFF"/>
        <w:spacing w:after="120" w:line="360" w:lineRule="auto"/>
        <w:jc w:val="both"/>
        <w:rPr>
          <w:rtl/>
        </w:rPr>
      </w:pPr>
      <w:r w:rsidRPr="000E7290">
        <w:rPr>
          <w:rFonts w:hint="cs"/>
          <w:b/>
          <w:bCs/>
          <w:rtl/>
        </w:rPr>
        <w:t>דין הערעור להתקבל, באופן שסכום הפיצוי שייפסק למערער יהיה סך של 70,000 ₪, תחת הפיצוי שנפסק בפסק הדין קמא</w:t>
      </w:r>
      <w:r>
        <w:rPr>
          <w:rFonts w:hint="cs"/>
          <w:rtl/>
        </w:rPr>
        <w:t>.</w:t>
      </w:r>
    </w:p>
    <w:p w:rsidR="00F45DA5" w:rsidRDefault="00F45DA5" w:rsidP="004A7FD2">
      <w:pPr>
        <w:shd w:val="clear" w:color="auto" w:fill="FFFFFF"/>
        <w:spacing w:after="120" w:line="360" w:lineRule="auto"/>
        <w:jc w:val="both"/>
        <w:rPr>
          <w:rtl/>
        </w:rPr>
      </w:pPr>
      <w:r>
        <w:rPr>
          <w:rFonts w:hint="cs"/>
          <w:rtl/>
        </w:rPr>
        <w:t xml:space="preserve">המשיבה תישא בהוצאות המערער בערעור זה ובשכר טרחת בא כוחו בסכום כולל של 10,000 ₪. </w:t>
      </w:r>
    </w:p>
    <w:p w:rsidR="00F45DA5" w:rsidRDefault="00F45DA5" w:rsidP="004A7FD2">
      <w:pPr>
        <w:shd w:val="clear" w:color="auto" w:fill="FFFFFF"/>
        <w:spacing w:after="120" w:line="360" w:lineRule="auto"/>
        <w:jc w:val="both"/>
        <w:rPr>
          <w:rtl/>
        </w:rPr>
      </w:pPr>
      <w:r>
        <w:rPr>
          <w:rFonts w:hint="cs"/>
          <w:rtl/>
        </w:rPr>
        <w:t>סכום זה ישולם על ידי המשיבה לידי המערער, באמצעות בא כוחו, תוך 30 ימים מהיום, שאם לא כן יישא הפרשי הצמדה וריבית כדין עד ליום התשלום המלא בפועל.</w:t>
      </w:r>
    </w:p>
    <w:p w:rsidR="00F45DA5" w:rsidRDefault="00F45DA5" w:rsidP="004A7FD2">
      <w:pPr>
        <w:shd w:val="clear" w:color="auto" w:fill="FFFFFF"/>
        <w:spacing w:after="120" w:line="360" w:lineRule="auto"/>
        <w:jc w:val="both"/>
        <w:rPr>
          <w:rtl/>
        </w:rPr>
      </w:pPr>
      <w:r>
        <w:rPr>
          <w:rFonts w:hint="cs"/>
          <w:rtl/>
        </w:rPr>
        <w:t xml:space="preserve">ערבון שהפקיד המערער יוחזר לידיו, באמצעות בא כוחו. </w:t>
      </w:r>
    </w:p>
    <w:p w:rsidR="00F45DA5" w:rsidRDefault="00F45DA5" w:rsidP="004A7FD2">
      <w:pPr>
        <w:shd w:val="clear" w:color="auto" w:fill="FFFFFF"/>
        <w:spacing w:after="120" w:line="360" w:lineRule="auto"/>
        <w:jc w:val="both"/>
        <w:rPr>
          <w:rtl/>
        </w:rPr>
      </w:pPr>
    </w:p>
    <w:p w:rsidR="00F45DA5" w:rsidRPr="00F45DA5" w:rsidRDefault="00F45DA5" w:rsidP="004A7FD2">
      <w:pPr>
        <w:shd w:val="clear" w:color="auto" w:fill="FFFFFF"/>
        <w:spacing w:after="120" w:line="360" w:lineRule="auto"/>
        <w:jc w:val="both"/>
        <w:rPr>
          <w:b/>
          <w:bCs/>
          <w:rtl/>
        </w:rPr>
      </w:pPr>
      <w:r w:rsidRPr="00F45DA5">
        <w:rPr>
          <w:rFonts w:hint="cs"/>
          <w:b/>
          <w:bCs/>
          <w:rtl/>
        </w:rPr>
        <w:t xml:space="preserve">פסק דין זה מותר לפרסום תוך השמטת שמות הצדדים וכל פרט מזהה אחר.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טבת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דצמבר 2023</w:t>
          </w:r>
        </w:sdtContent>
      </w:sdt>
      <w:r w:rsidR="00005C8B">
        <w:rPr>
          <w:rFonts w:ascii="Arial" w:hAnsi="Arial"/>
          <w:noProof w:val="0"/>
          <w:rtl/>
        </w:rPr>
        <w:t>, בהעדר הצדדים.</w:t>
      </w:r>
    </w:p>
    <w:p w:rsidR="00F45DA5" w:rsidRDefault="00F45DA5" w:rsidP="00860102">
      <w:pPr>
        <w:spacing w:line="360" w:lineRule="auto"/>
        <w:jc w:val="both"/>
        <w:rPr>
          <w:rFonts w:ascii="Arial" w:hAnsi="Arial"/>
          <w:noProof w:val="0"/>
          <w:rtl/>
        </w:rPr>
      </w:pPr>
    </w:p>
    <w:p w:rsidR="00F45DA5" w:rsidRDefault="00F45DA5" w:rsidP="00860102">
      <w:pPr>
        <w:spacing w:line="360" w:lineRule="auto"/>
        <w:jc w:val="both"/>
        <w:rPr>
          <w:rFonts w:ascii="Arial" w:hAnsi="Arial"/>
          <w:noProof w:val="0"/>
          <w:rtl/>
        </w:rPr>
      </w:pPr>
    </w:p>
    <w:p w:rsidR="00C43648" w:rsidRDefault="00C43648" w:rsidP="00BD6531">
      <w:pPr>
        <w:tabs>
          <w:tab w:val="left" w:pos="2553"/>
        </w:tabs>
        <w:ind w:left="5040"/>
        <w:rPr>
          <w:rtl/>
        </w:rPr>
      </w:pPr>
    </w:p>
    <w:p w:rsidR="00F45DA5" w:rsidRPr="00EC12BC" w:rsidRDefault="00BD6531">
      <w:r>
        <w:rPr>
          <w:rFonts w:hint="cs"/>
          <w:rtl/>
        </w:rPr>
        <w:tab/>
      </w:r>
      <w:r>
        <w:rPr>
          <w:rFonts w:hint="cs"/>
          <w:rtl/>
        </w:rPr>
        <w:tab/>
      </w:r>
      <w:r>
        <w:rPr>
          <w:rFonts w:hint="cs"/>
          <w:rtl/>
        </w:rPr>
        <w:tab/>
      </w:r>
      <w:r>
        <w:rPr>
          <w:rFonts w:hint="cs"/>
          <w:rtl/>
        </w:rPr>
        <w:tab/>
        <w:t xml:space="preserve">        </w:t>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F45DA5" w:rsidRPr="00EC12BC" w:rsidTr="000210FB">
        <w:tc>
          <w:tcPr>
            <w:tcW w:w="2796" w:type="dxa"/>
            <w:tcBorders>
              <w:top w:val="nil"/>
              <w:left w:val="nil"/>
              <w:bottom w:val="single" w:sz="4" w:space="0" w:color="auto"/>
              <w:right w:val="nil"/>
            </w:tcBorders>
            <w:vAlign w:val="bottom"/>
          </w:tcPr>
          <w:p w:rsidR="00F45DA5" w:rsidRPr="00EC12BC" w:rsidRDefault="00F45DA5" w:rsidP="00BB162B">
            <w:pPr>
              <w:jc w:val="center"/>
              <w:rPr>
                <w:rFonts w:ascii="Courier New" w:hAnsi="Courier New"/>
                <w:b/>
                <w:bCs/>
              </w:rPr>
            </w:pPr>
            <w:r>
              <w:drawing>
                <wp:inline distT="0" distB="0" distL="0" distR="0" wp14:anchorId="49805456" wp14:editId="5B3046D9">
                  <wp:extent cx="1361051" cy="844004"/>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366341" cy="847284"/>
                          </a:xfrm>
                          <a:prstGeom prst="rect">
                            <a:avLst/>
                          </a:prstGeom>
                        </pic:spPr>
                      </pic:pic>
                    </a:graphicData>
                  </a:graphic>
                </wp:inline>
              </w:drawing>
            </w:r>
          </w:p>
        </w:tc>
        <w:tc>
          <w:tcPr>
            <w:tcW w:w="354" w:type="dxa"/>
            <w:vAlign w:val="bottom"/>
          </w:tcPr>
          <w:p w:rsidR="00F45DA5" w:rsidRPr="00EC12BC" w:rsidRDefault="00F45DA5"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F45DA5" w:rsidRPr="00EC12BC" w:rsidRDefault="00F45DA5" w:rsidP="00BB162B">
            <w:pPr>
              <w:jc w:val="center"/>
              <w:rPr>
                <w:rFonts w:ascii="Courier New" w:hAnsi="Courier New"/>
                <w:b/>
                <w:bCs/>
              </w:rPr>
            </w:pPr>
            <w:r>
              <w:drawing>
                <wp:inline distT="0" distB="0" distL="0" distR="0" wp14:anchorId="319D00F2" wp14:editId="6F3A089F">
                  <wp:extent cx="527685" cy="817880"/>
                  <wp:effectExtent l="0" t="0" r="5715" b="1270"/>
                  <wp:docPr id="3" name="תמונה 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F45DA5" w:rsidRPr="00EC12BC" w:rsidRDefault="00F45DA5"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F45DA5" w:rsidRPr="00EC12BC" w:rsidRDefault="00F45DA5" w:rsidP="00BB162B">
            <w:pPr>
              <w:jc w:val="center"/>
              <w:rPr>
                <w:rFonts w:ascii="Courier New" w:hAnsi="Courier New"/>
                <w:b/>
                <w:bCs/>
              </w:rPr>
            </w:pPr>
            <w:r>
              <w:drawing>
                <wp:inline distT="0" distB="0" distL="0" distR="0" wp14:anchorId="6A3F69AA" wp14:editId="3EF4D19F">
                  <wp:extent cx="848360" cy="877570"/>
                  <wp:effectExtent l="0" t="0" r="8890"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3">
                            <a:extLst>
                              <a:ext uri="{BEBA8EAE-BF5A-486C-A8C5-ECC9F3942E4B}">
                                <a14:imgProps xmlns:a14="http://schemas.microsoft.com/office/drawing/2010/main">
                                  <a14:imgLayer r:embed="rId14">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F45DA5" w:rsidRPr="00EC12BC" w:rsidTr="000210FB">
        <w:tc>
          <w:tcPr>
            <w:tcW w:w="2796" w:type="dxa"/>
            <w:tcBorders>
              <w:top w:val="single" w:sz="4" w:space="0" w:color="auto"/>
              <w:left w:val="nil"/>
              <w:bottom w:val="nil"/>
              <w:right w:val="nil"/>
            </w:tcBorders>
          </w:tcPr>
          <w:p w:rsidR="00F45DA5" w:rsidRDefault="00F45DA5" w:rsidP="00BB162B">
            <w:pPr>
              <w:jc w:val="center"/>
              <w:rPr>
                <w:b/>
                <w:bCs/>
                <w:rtl/>
              </w:rPr>
            </w:pPr>
            <w:r>
              <w:rPr>
                <w:rFonts w:hint="cs"/>
                <w:b/>
                <w:bCs/>
                <w:rtl/>
              </w:rPr>
              <w:t>ח. שרעבי, שופט</w:t>
            </w:r>
          </w:p>
          <w:p w:rsidR="00F45DA5" w:rsidRPr="00EC12BC" w:rsidRDefault="00F45DA5" w:rsidP="00BB162B">
            <w:pPr>
              <w:jc w:val="center"/>
              <w:rPr>
                <w:b/>
                <w:bCs/>
              </w:rPr>
            </w:pPr>
            <w:r>
              <w:rPr>
                <w:rFonts w:hint="cs"/>
                <w:b/>
                <w:bCs/>
                <w:rtl/>
              </w:rPr>
              <w:t>אב"ד</w:t>
            </w:r>
          </w:p>
        </w:tc>
        <w:tc>
          <w:tcPr>
            <w:tcW w:w="354" w:type="dxa"/>
          </w:tcPr>
          <w:p w:rsidR="00F45DA5" w:rsidRPr="00EC12BC" w:rsidRDefault="00F45DA5" w:rsidP="00BB162B">
            <w:pPr>
              <w:spacing w:line="360" w:lineRule="auto"/>
              <w:rPr>
                <w:b/>
                <w:bCs/>
                <w:color w:val="FF0000"/>
              </w:rPr>
            </w:pPr>
          </w:p>
        </w:tc>
        <w:tc>
          <w:tcPr>
            <w:tcW w:w="2312" w:type="dxa"/>
            <w:tcBorders>
              <w:top w:val="single" w:sz="4" w:space="0" w:color="auto"/>
              <w:left w:val="nil"/>
              <w:bottom w:val="nil"/>
              <w:right w:val="nil"/>
            </w:tcBorders>
          </w:tcPr>
          <w:p w:rsidR="00F45DA5" w:rsidRPr="00EC12BC" w:rsidRDefault="00F45DA5" w:rsidP="00BB162B">
            <w:pPr>
              <w:spacing w:line="360" w:lineRule="auto"/>
              <w:jc w:val="center"/>
              <w:rPr>
                <w:b/>
                <w:bCs/>
              </w:rPr>
            </w:pPr>
            <w:r>
              <w:rPr>
                <w:rFonts w:hint="cs"/>
                <w:b/>
                <w:bCs/>
                <w:rtl/>
              </w:rPr>
              <w:t>א. אלון, שופטת</w:t>
            </w:r>
          </w:p>
        </w:tc>
        <w:tc>
          <w:tcPr>
            <w:tcW w:w="341" w:type="dxa"/>
          </w:tcPr>
          <w:p w:rsidR="00F45DA5" w:rsidRPr="00EC12BC" w:rsidRDefault="00F45DA5" w:rsidP="00BB162B">
            <w:pPr>
              <w:spacing w:line="360" w:lineRule="auto"/>
              <w:rPr>
                <w:b/>
                <w:bCs/>
                <w:color w:val="FF0000"/>
              </w:rPr>
            </w:pPr>
          </w:p>
        </w:tc>
        <w:tc>
          <w:tcPr>
            <w:tcW w:w="2503" w:type="dxa"/>
            <w:tcBorders>
              <w:top w:val="single" w:sz="4" w:space="0" w:color="auto"/>
              <w:left w:val="nil"/>
              <w:bottom w:val="nil"/>
              <w:right w:val="nil"/>
            </w:tcBorders>
          </w:tcPr>
          <w:p w:rsidR="00F45DA5" w:rsidRPr="00EC12BC" w:rsidRDefault="00F45DA5" w:rsidP="00BB162B">
            <w:pPr>
              <w:spacing w:line="360" w:lineRule="auto"/>
              <w:jc w:val="center"/>
              <w:rPr>
                <w:b/>
                <w:bCs/>
                <w:rtl/>
              </w:rPr>
            </w:pPr>
            <w:r>
              <w:rPr>
                <w:rFonts w:hint="cs"/>
                <w:b/>
                <w:bCs/>
                <w:rtl/>
              </w:rPr>
              <w:t>א. נאמן, שופט</w:t>
            </w:r>
          </w:p>
        </w:tc>
      </w:tr>
    </w:tbl>
    <w:p w:rsidR="00F45DA5" w:rsidRPr="00EC12BC" w:rsidRDefault="00F45DA5">
      <w:pPr>
        <w:rPr>
          <w:rtl/>
        </w:rPr>
      </w:pPr>
    </w:p>
    <w:p w:rsidR="00F45DA5" w:rsidRPr="00EC12BC" w:rsidRDefault="00F45DA5">
      <w:pPr>
        <w:rPr>
          <w:rtl/>
        </w:rPr>
      </w:pPr>
    </w:p>
    <w:p w:rsidR="00694556" w:rsidRDefault="00694556" w:rsidP="00F45DA5">
      <w:pPr>
        <w:tabs>
          <w:tab w:val="left" w:pos="2553"/>
        </w:tabs>
        <w:rPr>
          <w:rFonts w:ascii="Arial" w:hAnsi="Arial"/>
          <w:noProof w:val="0"/>
          <w:rtl/>
        </w:rPr>
      </w:pPr>
    </w:p>
    <w:sectPr w:rsidR="00694556" w:rsidSect="00F45DA5">
      <w:headerReference w:type="even" r:id="rId15"/>
      <w:headerReference w:type="default" r:id="rId16"/>
      <w:footerReference w:type="even" r:id="rId17"/>
      <w:footerReference w:type="default" r:id="rId18"/>
      <w:headerReference w:type="first" r:id="rId19"/>
      <w:footerReference w:type="first" r:id="rId20"/>
      <w:pgSz w:w="11907" w:h="16840" w:code="9"/>
      <w:pgMar w:top="1440" w:right="1417"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05E" w:rsidRDefault="0006105E">
      <w:r>
        <w:separator/>
      </w:r>
    </w:p>
  </w:endnote>
  <w:endnote w:type="continuationSeparator" w:id="0">
    <w:p w:rsidR="0006105E" w:rsidRDefault="0006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264" w:rsidRDefault="009F726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F726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F7264">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264" w:rsidRDefault="009F726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05E" w:rsidRDefault="0006105E">
      <w:r>
        <w:separator/>
      </w:r>
    </w:p>
  </w:footnote>
  <w:footnote w:type="continuationSeparator" w:id="0">
    <w:p w:rsidR="0006105E" w:rsidRDefault="0006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264" w:rsidRDefault="009F72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F45DA5" w:rsidRDefault="0006105E" w:rsidP="00EB7309">
          <w:pPr>
            <w:rPr>
              <w:b/>
              <w:bCs/>
              <w:noProof w:val="0"/>
              <w:sz w:val="26"/>
              <w:szCs w:val="26"/>
              <w:rtl/>
            </w:rPr>
          </w:pPr>
          <w:sdt>
            <w:sdtPr>
              <w:rPr>
                <w:rtl/>
              </w:rPr>
              <w:alias w:val="1170"/>
              <w:tag w:val="1170"/>
              <w:id w:val="1066377040"/>
              <w:text w:multiLine="1"/>
            </w:sdtPr>
            <w:sdtEndPr/>
            <w:sdtContent>
              <w:r w:rsidR="00DA2495">
                <w:rPr>
                  <w:b/>
                  <w:bCs/>
                  <w:noProof w:val="0"/>
                  <w:sz w:val="26"/>
                  <w:szCs w:val="26"/>
                  <w:rtl/>
                </w:rPr>
                <w:t>עמ"ש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DA2495">
                <w:rPr>
                  <w:b/>
                  <w:bCs/>
                  <w:noProof w:val="0"/>
                  <w:sz w:val="26"/>
                  <w:szCs w:val="26"/>
                  <w:rtl/>
                </w:rPr>
                <w:t>26211-07-23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EB7309">
                <w:rPr>
                  <w:rFonts w:hint="cs"/>
                  <w:b/>
                  <w:bCs/>
                  <w:noProof w:val="0"/>
                  <w:sz w:val="26"/>
                  <w:szCs w:val="26"/>
                  <w:rtl/>
                </w:rPr>
                <w:t>מ'</w:t>
              </w:r>
              <w:r w:rsidR="00DA2495">
                <w:rPr>
                  <w:b/>
                  <w:bCs/>
                  <w:noProof w:val="0"/>
                  <w:sz w:val="26"/>
                  <w:szCs w:val="26"/>
                  <w:rtl/>
                </w:rPr>
                <w:t xml:space="preserve"> נ' </w:t>
              </w:r>
              <w:r w:rsidR="00EB7309">
                <w:rPr>
                  <w:rFonts w:hint="cs"/>
                  <w:b/>
                  <w:bCs/>
                  <w:noProof w:val="0"/>
                  <w:sz w:val="26"/>
                  <w:szCs w:val="26"/>
                  <w:rtl/>
                </w:rPr>
                <w:t>ח'</w:t>
              </w:r>
            </w:sdtContent>
          </w:sdt>
          <w:r w:rsidR="007C2453">
            <w:rPr>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264" w:rsidRDefault="009F72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C3967"/>
    <w:multiLevelType w:val="hybridMultilevel"/>
    <w:tmpl w:val="D69E1D46"/>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1" w15:restartNumberingAfterBreak="0">
    <w:nsid w:val="4DB15780"/>
    <w:multiLevelType w:val="hybridMultilevel"/>
    <w:tmpl w:val="4AE0F8E6"/>
    <w:lvl w:ilvl="0" w:tplc="5BF2BA00">
      <w:start w:val="1"/>
      <w:numFmt w:val="decimal"/>
      <w:lvlText w:val="%1."/>
      <w:lvlJc w:val="left"/>
      <w:pPr>
        <w:ind w:left="5463"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A70F79"/>
    <w:multiLevelType w:val="hybridMultilevel"/>
    <w:tmpl w:val="74C4183E"/>
    <w:lvl w:ilvl="0" w:tplc="46D615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354231"/>
    <w:multiLevelType w:val="hybridMultilevel"/>
    <w:tmpl w:val="DC6E2C3A"/>
    <w:lvl w:ilvl="0" w:tplc="7D20BB60">
      <w:start w:val="1"/>
      <w:numFmt w:val="decimal"/>
      <w:lvlText w:val="%1."/>
      <w:lvlJc w:val="left"/>
      <w:pPr>
        <w:ind w:left="-58" w:hanging="360"/>
      </w:pPr>
      <w:rPr>
        <w:rFonts w:hint="default"/>
      </w:rPr>
    </w:lvl>
    <w:lvl w:ilvl="1" w:tplc="04090019">
      <w:start w:val="1"/>
      <w:numFmt w:val="lowerLetter"/>
      <w:lvlText w:val="%2."/>
      <w:lvlJc w:val="left"/>
      <w:pPr>
        <w:ind w:left="662" w:hanging="360"/>
      </w:pPr>
    </w:lvl>
    <w:lvl w:ilvl="2" w:tplc="0409001B" w:tentative="1">
      <w:start w:val="1"/>
      <w:numFmt w:val="lowerRoman"/>
      <w:lvlText w:val="%3."/>
      <w:lvlJc w:val="right"/>
      <w:pPr>
        <w:ind w:left="1382" w:hanging="180"/>
      </w:pPr>
    </w:lvl>
    <w:lvl w:ilvl="3" w:tplc="0409000F" w:tentative="1">
      <w:start w:val="1"/>
      <w:numFmt w:val="decimal"/>
      <w:lvlText w:val="%4."/>
      <w:lvlJc w:val="left"/>
      <w:pPr>
        <w:ind w:left="2102" w:hanging="360"/>
      </w:pPr>
    </w:lvl>
    <w:lvl w:ilvl="4" w:tplc="04090019" w:tentative="1">
      <w:start w:val="1"/>
      <w:numFmt w:val="lowerLetter"/>
      <w:lvlText w:val="%5."/>
      <w:lvlJc w:val="left"/>
      <w:pPr>
        <w:ind w:left="2822" w:hanging="360"/>
      </w:pPr>
    </w:lvl>
    <w:lvl w:ilvl="5" w:tplc="0409001B" w:tentative="1">
      <w:start w:val="1"/>
      <w:numFmt w:val="lowerRoman"/>
      <w:lvlText w:val="%6."/>
      <w:lvlJc w:val="right"/>
      <w:pPr>
        <w:ind w:left="3542" w:hanging="180"/>
      </w:pPr>
    </w:lvl>
    <w:lvl w:ilvl="6" w:tplc="0409000F" w:tentative="1">
      <w:start w:val="1"/>
      <w:numFmt w:val="decimal"/>
      <w:lvlText w:val="%7."/>
      <w:lvlJc w:val="left"/>
      <w:pPr>
        <w:ind w:left="4262" w:hanging="360"/>
      </w:pPr>
    </w:lvl>
    <w:lvl w:ilvl="7" w:tplc="04090019" w:tentative="1">
      <w:start w:val="1"/>
      <w:numFmt w:val="lowerLetter"/>
      <w:lvlText w:val="%8."/>
      <w:lvlJc w:val="left"/>
      <w:pPr>
        <w:ind w:left="4982" w:hanging="360"/>
      </w:pPr>
    </w:lvl>
    <w:lvl w:ilvl="8" w:tplc="0409001B" w:tentative="1">
      <w:start w:val="1"/>
      <w:numFmt w:val="lowerRoman"/>
      <w:lvlText w:val="%9."/>
      <w:lvlJc w:val="right"/>
      <w:pPr>
        <w:ind w:left="5702"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2089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20897&amp;lt;/CaseID&amp;gt;_x000d__x000a_        &amp;lt;CaseMonth&amp;gt;7&amp;lt;/CaseMonth&amp;gt;_x000d__x000a_        &amp;lt;CaseYear&amp;gt;2023&amp;lt;/CaseYear&amp;gt;_x000d__x000a_        &amp;lt;CaseNumber&amp;gt;26211&amp;lt;/CaseNumber&amp;gt;_x000d__x000a_        &amp;lt;NumeratorGroupID&amp;gt;1&amp;lt;/NumeratorGroupID&amp;gt;_x000d__x000a_        &amp;lt;CaseName&amp;gt;משעלי נ&amp;#39; חליווה&amp;lt;/CaseName&amp;gt;_x000d__x000a_        &amp;lt;CourtID&amp;gt;13&amp;lt;/CourtID&amp;gt;_x000d__x000a_        &amp;lt;CaseTypeID&amp;gt;63&amp;lt;/CaseTypeID&amp;gt;_x000d__x000a_        &amp;lt;CaseInterestID&amp;gt;67&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6211-07-23&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7-11T14:56: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דיון ב-18.12&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20897&amp;lt;/CaseID&amp;gt;_x000d__x000a_        &amp;lt;CaseMonth&amp;gt;7&amp;lt;/CaseMonth&amp;gt;_x000d__x000a_        &amp;lt;CaseYear&amp;gt;2023&amp;lt;/CaseYear&amp;gt;_x000d__x000a_        &amp;lt;CaseNumber&amp;gt;26211&amp;lt;/CaseNumber&amp;gt;_x000d__x000a_        &amp;lt;NumeratorGroupID&amp;gt;1&amp;lt;/NumeratorGroupID&amp;gt;_x000d__x000a_        &amp;lt;CaseName&amp;gt;משעלי נ&amp;#39; חליווה&amp;lt;/CaseName&amp;gt;_x000d__x000a_        &amp;lt;CourtID&amp;gt;13&amp;lt;/CourtID&amp;gt;_x000d__x000a_        &amp;lt;CaseTypeID&amp;gt;63&amp;lt;/CaseTypeID&amp;gt;_x000d__x000a_        &amp;lt;CaseInterestID&amp;gt;67&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6211-07-23&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3-07-11T14:56: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דיון ב-18.12&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800196&amp;lt;/DecisionID&amp;gt;_x000d__x000a_        &amp;lt;DecisionName&amp;gt;פסק דין  שניתנה ע&amp;quot;י  חננאל שרעבי&amp;lt;/DecisionName&amp;gt;_x000d__x000a_        &amp;lt;DecisionStatusID&amp;gt;1&amp;lt;/DecisionStatusID&amp;gt;_x000d__x000a_        &amp;lt;DecisionStatusChangeDate&amp;gt;2023-12-25T14:04:09.07+02:00&amp;lt;/DecisionStatusChangeDate&amp;gt;_x000d__x000a_        &amp;lt;DecisionSignatureDate&amp;gt;2023-12-25T13:29:35.043+02:00&amp;lt;/DecisionSignatureDate&amp;gt;_x000d__x000a_        &amp;lt;DecisionSignatureUserID&amp;gt;056479827@GOV.IL&amp;lt;/DecisionSignatureUserID&amp;gt;_x000d__x000a_        &amp;lt;DecisionCreateDate&amp;gt;2023-12-25T13:56:05.993+02:00&amp;lt;/DecisionCreateDate&amp;gt;_x000d__x000a_        &amp;lt;DecisionChangeDate&amp;gt;2023-12-25T14:04:09.03+02: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949628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8800196&amp;lt;/DecisionID&amp;gt;_x000d__x000a_        &amp;lt;CaseID&amp;gt;80420897&amp;lt;/CaseID&amp;gt;_x000d__x000a_        &amp;lt;IsOriginal&amp;gt;true&amp;lt;/IsOriginal&amp;gt;_x000d__x000a_        &amp;lt;IsDeleted&amp;gt;false&amp;lt;/IsDeleted&amp;gt;_x000d__x000a_        &amp;lt;CaseName&amp;gt;משעלי נ&amp;#39; חליווה&amp;lt;/CaseName&amp;gt;_x000d__x000a_        &amp;lt;CaseDisplayIdentifier&amp;gt;26211-07-23 עמ&amp;quot;ש&amp;lt;/CaseDisplayIdentifier&amp;gt;_x000d__x000a_      &amp;lt;/dt_DecisionCase&amp;gt;_x000d__x000a_      &amp;lt;dt_DecisionJudgePanel diffgr:id=&amp;quot;dt_DecisionJudgePanel1&amp;quot; msdata:rowOrder=&amp;quot;0&amp;quot;&amp;gt;_x000d__x000a_        &amp;lt;DecisionID&amp;gt;148800196&amp;lt;/DecisionID&amp;gt;_x000d__x000a_        &amp;lt;JudgeID&amp;gt;056479827@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8800196&amp;lt;/DecisionID&amp;gt;_x000d__x000a_        &amp;lt;JudgeID&amp;gt;05795577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8800196&amp;lt;/DecisionID&amp;gt;_x000d__x000a_        &amp;lt;JudgeID&amp;gt;058677980@GOV.IL&amp;lt;/JudgeID&amp;gt;_x000d__x000a_        &amp;lt;OrdinalNumber&amp;gt;3&amp;lt;/OrdinalNumber&amp;gt;_x000d__x000a_      &amp;lt;/dt_DecisionJudgePanel&amp;gt;_x000d__x000a_    &amp;lt;/DecisionDS&amp;gt;_x000d__x000a_  &amp;lt;/diffgr:diffgram&amp;gt;_x000d__x000a_&amp;lt;/DecisionDS&amp;gt;"/>
    <w:docVar w:name="DecisionID" w:val="148800196"/>
    <w:docVar w:name="docID" w:val="429496282"/>
    <w:docVar w:name="judgeUPN" w:val="056479827@GOV.IL"/>
    <w:docVar w:name="NGCS.TemplateCaseInterestID" w:val="67"/>
    <w:docVar w:name="NGCS.TemplateCaseTypeID" w:val="63"/>
    <w:docVar w:name="NGCS.TemplateCourtID" w:val="13"/>
    <w:docVar w:name="NGCS.TemplateProceedingID" w:val="14"/>
    <w:docVar w:name="noteDocID" w:val="429496282"/>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105E"/>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3FDB"/>
    <w:rsid w:val="001367BC"/>
    <w:rsid w:val="00144D2A"/>
    <w:rsid w:val="0014653E"/>
    <w:rsid w:val="00180519"/>
    <w:rsid w:val="00191C82"/>
    <w:rsid w:val="001921A7"/>
    <w:rsid w:val="001C4003"/>
    <w:rsid w:val="001D4DBF"/>
    <w:rsid w:val="001E75CA"/>
    <w:rsid w:val="002265FF"/>
    <w:rsid w:val="00271B56"/>
    <w:rsid w:val="00272E32"/>
    <w:rsid w:val="002C344E"/>
    <w:rsid w:val="002E75E9"/>
    <w:rsid w:val="002F0B1E"/>
    <w:rsid w:val="00307A6A"/>
    <w:rsid w:val="00307C40"/>
    <w:rsid w:val="00320433"/>
    <w:rsid w:val="00322E6A"/>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3125D"/>
    <w:rsid w:val="0043502B"/>
    <w:rsid w:val="004443AC"/>
    <w:rsid w:val="00444B02"/>
    <w:rsid w:val="00451E28"/>
    <w:rsid w:val="004521B0"/>
    <w:rsid w:val="00462C62"/>
    <w:rsid w:val="00465D36"/>
    <w:rsid w:val="004A7FD2"/>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72D77"/>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9F7264"/>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0119E"/>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437F0"/>
    <w:rsid w:val="00C50A9F"/>
    <w:rsid w:val="00C642FA"/>
    <w:rsid w:val="00C76462"/>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B7309"/>
    <w:rsid w:val="00EC37E9"/>
    <w:rsid w:val="00F038D8"/>
    <w:rsid w:val="00F06995"/>
    <w:rsid w:val="00F12D66"/>
    <w:rsid w:val="00F13623"/>
    <w:rsid w:val="00F44D1D"/>
    <w:rsid w:val="00F45DA5"/>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45DA5"/>
    <w:pPr>
      <w:ind w:left="720"/>
      <w:contextualSpacing/>
      <w:jc w:val="both"/>
    </w:pPr>
    <w:rPr>
      <w:rFonts w:ascii="David" w:eastAsiaTheme="minorHAnsi"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law/74372"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hdphoto" Target="media/hdphoto1.wdp"/><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C3404C9A680436D903318FC27F782D6"/>
        <w:category>
          <w:name w:val="כללי"/>
          <w:gallery w:val="placeholder"/>
        </w:category>
        <w:types>
          <w:type w:val="bbPlcHdr"/>
        </w:types>
        <w:behaviors>
          <w:behavior w:val="content"/>
        </w:behaviors>
        <w:guid w:val="{02DBDAC2-2DDB-478D-8B02-0E47FB5876BC}"/>
      </w:docPartPr>
      <w:docPartBody>
        <w:p w:rsidR="009133C7" w:rsidRDefault="00AA7CE3">
          <w:r w:rsidRPr="00D47A1C">
            <w:rPr>
              <w:rStyle w:val="a3"/>
              <w:rtl/>
            </w:rPr>
            <w:t>לחץ כאן להזנת טקסט</w:t>
          </w:r>
          <w:r w:rsidRPr="00D47A1C">
            <w:rPr>
              <w:rStyle w:val="a3"/>
            </w:rPr>
            <w:t>.</w:t>
          </w:r>
        </w:p>
      </w:docPartBody>
    </w:docPart>
    <w:docPart>
      <w:docPartPr>
        <w:name w:val="ECEBEAEEF94C46B483ABAAA854FBFE16"/>
        <w:category>
          <w:name w:val="כללי"/>
          <w:gallery w:val="placeholder"/>
        </w:category>
        <w:types>
          <w:type w:val="bbPlcHdr"/>
        </w:types>
        <w:behaviors>
          <w:behavior w:val="content"/>
        </w:behaviors>
        <w:guid w:val="{C1867EA5-95C2-4A6E-A2C9-E68FCD0B86B2}"/>
      </w:docPartPr>
      <w:docPartBody>
        <w:p w:rsidR="00345C9D" w:rsidRDefault="001D696D" w:rsidP="001D696D">
          <w:pPr>
            <w:pStyle w:val="E460D38E05664FF79D4EFF282EF8EC9926"/>
          </w:pPr>
          <w:r>
            <w:rPr>
              <w:rFonts w:hint="cs"/>
              <w:rtl/>
            </w:rPr>
            <w:t xml:space="preserve">     </w:t>
          </w:r>
        </w:p>
      </w:docPartBody>
    </w:docPart>
    <w:docPart>
      <w:docPartPr>
        <w:name w:val="51008D758E27413EA910E53B3DE9E510"/>
        <w:category>
          <w:name w:val="כללי"/>
          <w:gallery w:val="placeholder"/>
        </w:category>
        <w:types>
          <w:type w:val="bbPlcHdr"/>
        </w:types>
        <w:behaviors>
          <w:behavior w:val="content"/>
        </w:behaviors>
        <w:guid w:val="{31E636FC-CBF7-46E4-AB41-F5D284134684}"/>
      </w:docPartPr>
      <w:docPartBody>
        <w:p w:rsidR="007E254A" w:rsidRDefault="00F04DC1" w:rsidP="00F04DC1">
          <w:pPr>
            <w:pStyle w:val="4CB7196AAF294F94B2C6087C9BF06E84"/>
          </w:pPr>
          <w:r w:rsidRPr="005929DA">
            <w:rPr>
              <w:rStyle w:val="a3"/>
              <w:rtl/>
            </w:rPr>
            <w:t>לחץ כאן להזנת טקסט</w:t>
          </w:r>
          <w:r w:rsidRPr="005929DA">
            <w:rPr>
              <w:rStyle w:val="a3"/>
            </w:rPr>
            <w:t>.</w:t>
          </w:r>
        </w:p>
      </w:docPartBody>
    </w:docPart>
    <w:docPart>
      <w:docPartPr>
        <w:name w:val="E7C654DD2B95484F9C72BABA6D761375"/>
        <w:category>
          <w:name w:val="כללי"/>
          <w:gallery w:val="placeholder"/>
        </w:category>
        <w:types>
          <w:type w:val="bbPlcHdr"/>
        </w:types>
        <w:behaviors>
          <w:behavior w:val="content"/>
        </w:behaviors>
        <w:guid w:val="{67957574-5316-441E-86F3-C90CDAA4DDA6}"/>
      </w:docPartPr>
      <w:docPartBody>
        <w:p w:rsidR="007E254A" w:rsidRDefault="001D696D" w:rsidP="001D696D">
          <w:pPr>
            <w:pStyle w:val="E6E6A917CC5E4519A8F2E864C48E22F214"/>
          </w:pPr>
          <w:r w:rsidRPr="00CD608F">
            <w:rPr>
              <w:rFonts w:hint="eastAsia"/>
              <w:b/>
              <w:bCs/>
              <w:sz w:val="26"/>
              <w:szCs w:val="26"/>
              <w:rtl/>
            </w:rPr>
            <w:t>בעניין</w:t>
          </w:r>
          <w:r w:rsidRPr="00CD608F">
            <w:rPr>
              <w:b/>
              <w:bCs/>
              <w:sz w:val="26"/>
              <w:szCs w:val="26"/>
              <w:rtl/>
            </w:rPr>
            <w:t xml:space="preserve"> שם פרטי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E656BC" w:rsidRDefault="00805CDD">
          <w:pPr>
            <w:pStyle w:val="D7E0EB56E1FF4F6EBB0C532696AE54AC"/>
          </w:pPr>
          <w:r>
            <w:rPr>
              <w:b/>
              <w:bCs/>
              <w:rtl/>
            </w:rPr>
            <w:t>סוג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39420B"/>
    <w:rsid w:val="0048651F"/>
    <w:rsid w:val="005157ED"/>
    <w:rsid w:val="005171E8"/>
    <w:rsid w:val="00556D67"/>
    <w:rsid w:val="00793995"/>
    <w:rsid w:val="007C6F98"/>
    <w:rsid w:val="007E254A"/>
    <w:rsid w:val="00805CDD"/>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656BC"/>
    <w:rsid w:val="00E66F2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C3404C9A680436D903318FC27F782D6">
    <w:name w:val="AC3404C9A680436D903318FC27F782D6"/>
    <w:pPr>
      <w:bidi/>
    </w:pPr>
  </w:style>
  <w:style w:type="paragraph" w:customStyle="1" w:styleId="ECEBEAEEF94C46B483ABAAA854FBFE16">
    <w:name w:val="ECEBEAEEF94C46B483ABAAA854FBFE16"/>
    <w:pPr>
      <w:bidi/>
    </w:pPr>
  </w:style>
  <w:style w:type="paragraph" w:customStyle="1" w:styleId="D7E0EB56E1FF4F6EBB0C532696AE54AC">
    <w:name w:val="D7E0EB56E1FF4F6EBB0C532696AE54AC"/>
    <w:pPr>
      <w:bidi/>
    </w:pPr>
  </w:style>
  <w:style w:type="paragraph" w:customStyle="1" w:styleId="51008D758E27413EA910E53B3DE9E510">
    <w:name w:val="51008D758E27413EA910E53B3DE9E510"/>
    <w:pPr>
      <w:bidi/>
    </w:pPr>
  </w:style>
  <w:style w:type="paragraph" w:customStyle="1" w:styleId="E7C654DD2B95484F9C72BABA6D761375">
    <w:name w:val="E7C654DD2B95484F9C72BABA6D761375"/>
    <w:pPr>
      <w:bidi/>
    </w:pPr>
  </w:style>
  <w:style w:type="paragraph" w:customStyle="1" w:styleId="8982D4174DED4B4DB721A131BFB164D0">
    <w:name w:val="8982D4174DED4B4DB721A131BFB164D0"/>
    <w:pPr>
      <w:bidi/>
    </w:pPr>
  </w:style>
  <w:style w:type="paragraph" w:customStyle="1" w:styleId="BC7E27D743F14244AB0B7E82CDE2F303">
    <w:name w:val="BC7E27D743F14244AB0B7E82CDE2F303"/>
    <w:pPr>
      <w:bidi/>
    </w:pPr>
  </w:style>
  <w:style w:type="character" w:styleId="a3">
    <w:name w:val="Placeholder Text"/>
    <w:basedOn w:val="a0"/>
    <w:uiPriority w:val="99"/>
    <w:semiHidden/>
    <w:rsid w:val="00805CD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805CD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80420897</CaseID>
    <CaseJudicialPersonPresentationDS>
      <CaseJudicalPersonActive>
        <CaseID>80420897</CaseID>
        <JudicialPersonID>056479827@GOV.IL</JudicialPersonID>
        <JudicialPersonTypeID>1</JudicialPersonTypeID>
        <JudicialTypeID>3</JudicialTypeID>
        <IsChairman>true</IsChairman>
        <TreatmentStartDate>2023-07-12T09:24:18.327+03:00</TreatmentStartDate>
        <TreatmentFinishDate>9999-12-31T23:59:59.997+02:00</TreatmentFinishDate>
        <IdentificationCardNumber>056479827</IdentificationCardNumber>
        <DisplayName>חננאל שרעבי</DisplayName>
        <JudicialTypeName>הרכב שופטים</JudicialTypeName>
        <CaseJudicialGroupNumber>546633</CaseJudicialGroupNumber>
        <FirstName>חננאל</FirstName>
        <LastName>שרעבי</LastName>
        <JudicialPersonTitle>שופט</JudicialPersonTitle>
      </CaseJudicalPersonActive>
      <CaseJudicalPersonActive>
        <CaseID>80420897</CaseID>
        <JudicialPersonID>057955775@GOV.IL</JudicialPersonID>
        <JudicialPersonTypeID>1</JudicialPersonTypeID>
        <JudicialTypeID>3</JudicialTypeID>
        <IsChairman>false</IsChairman>
        <TreatmentStartDate>2023-07-12T09:24:18.327+03:00</TreatmentStartDate>
        <TreatmentFinishDate>9999-12-31T23:59:59.997+02:00</TreatmentFinishDate>
        <IdentificationCardNumber>057955775</IdentificationCardNumber>
        <DisplayName>אספרנצה אלון</DisplayName>
        <JudicialTypeName>הרכב שופטים</JudicialTypeName>
        <CaseJudicialGroupNumber>546633</CaseJudicialGroupNumber>
        <FirstName>אספרנצה</FirstName>
        <LastName>אלון</LastName>
        <JudicialPersonTitle>שופט</JudicialPersonTitle>
      </CaseJudicalPersonActive>
      <CaseJudicalPersonActive>
        <CaseID>80420897</CaseID>
        <JudicialPersonID>058677980@GOV.IL</JudicialPersonID>
        <JudicialPersonTypeID>1</JudicialPersonTypeID>
        <JudicialTypeID>3</JudicialTypeID>
        <IsChairman>false</IsChairman>
        <TreatmentStartDate>2023-07-12T09:24:18.327+03:00</TreatmentStartDate>
        <TreatmentFinishDate>9999-12-31T23:59:59.997+02:00</TreatmentFinishDate>
        <IdentificationCardNumber>058677980</IdentificationCardNumber>
        <DisplayName>אריה נאמן</DisplayName>
        <JudicialTypeName>הרכב שופטים</JudicialTypeName>
        <CaseJudicialGroupNumber>546633</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ניר שם טוב</FullName>
        <FirstName>ניר</FirstName>
        <LastName>שם טוב</LastName>
        <PartyPropertyName/>
        <AuthenticationTypeAndNumber>מ.ר. 73294</AuthenticationTypeAndNumber>
        <RepresentatedOrRepresentativesNames>עמירן משעלי</RepresentatedOrRepresentativesNames>
        <RepresentatedOrRepresentativesCount>1</RepresentatedOrRepresentativesCount>
        <InvitedBy/>
        <CaseID>80420897</CaseID>
        <CaseJudicialPersonPresentationDS>
          <CaseJudicalPersonActive>
            <CaseID>80420897</CaseID>
            <JudicialPersonID>056479827@GOV.IL</JudicialPersonID>
            <JudicialPersonTypeID>1</JudicialPersonTypeID>
            <JudicialTypeID>3</JudicialTypeID>
            <IsChairman>true</IsChairman>
            <TreatmentStartDate>2023-07-12T09:24:18.327+03:00</TreatmentStartDate>
            <TreatmentFinishDate>9999-12-31T23:59:59.997+02:00</TreatmentFinishDate>
            <IdentificationCardNumber>056479827</IdentificationCardNumber>
            <DisplayName>חננאל שרעבי</DisplayName>
            <JudicialTypeName>הרכב שופטים</JudicialTypeName>
            <CaseJudicialGroupNumber>546633</CaseJudicialGroupNumber>
            <FirstName>חננאל</FirstName>
            <LastName>שרעבי</LastName>
            <JudicialPersonTitle>שופט</JudicialPersonTitle>
          </CaseJudicalPersonActive>
          <CaseJudicalPersonActive>
            <CaseID>80420897</CaseID>
            <JudicialPersonID>057955775@GOV.IL</JudicialPersonID>
            <JudicialPersonTypeID>1</JudicialPersonTypeID>
            <JudicialTypeID>3</JudicialTypeID>
            <IsChairman>false</IsChairman>
            <TreatmentStartDate>2023-07-12T09:24:18.327+03:00</TreatmentStartDate>
            <TreatmentFinishDate>9999-12-31T23:59:59.997+02:00</TreatmentFinishDate>
            <IdentificationCardNumber>057955775</IdentificationCardNumber>
            <DisplayName>אספרנצה אלון</DisplayName>
            <JudicialTypeName>הרכב שופטים</JudicialTypeName>
            <CaseJudicialGroupNumber>546633</CaseJudicialGroupNumber>
            <FirstName>אספרנצה</FirstName>
            <LastName>אלון</LastName>
            <JudicialPersonTitle>שופט</JudicialPersonTitle>
          </CaseJudicalPersonActive>
          <CaseJudicalPersonActive>
            <CaseID>80420897</CaseID>
            <JudicialPersonID>058677980@GOV.IL</JudicialPersonID>
            <JudicialPersonTypeID>1</JudicialPersonTypeID>
            <JudicialTypeID>3</JudicialTypeID>
            <IsChairman>false</IsChairman>
            <TreatmentStartDate>2023-07-12T09:24:18.327+03:00</TreatmentStartDate>
            <TreatmentFinishDate>9999-12-31T23:59:59.997+02:00</TreatmentFinishDate>
            <IdentificationCardNumber>058677980</IdentificationCardNumber>
            <DisplayName>אריה נאמן</DisplayName>
            <JudicialTypeName>הרכב שופטים</JudicialTypeName>
            <CaseJudicialGroupNumber>546633</CaseJudicialGroupNumber>
            <FirstName>אריה</FirstName>
            <LastName>נאמן</LastName>
            <JudicialPersonTitle>שופט</JudicialPersonTitle>
          </CaseJudicalPersonActive>
        </CaseJudicialPersonPresentationDS>
        <CasePartyID>258254125</CasePartyID>
        <PartyTypeID>2</PartyTypeID>
        <ActivityStatusID>1</ActivityStatusID>
        <PartyAliasID>24</PartyAliasID>
        <PartyAliasName>בא כוח מערערים</PartyAliasName>
        <LegalEntityID>77674397</LegalEntityID>
        <CaseLegalEntityID>125137543</CaseLegalEntityID>
        <AuthenticationTypeID>4</AuthenticationTypeID>
        <AuthenticationTypeName>מ.ר.</AuthenticationTypeName>
        <LegalEntityNumber>73294</LegalEntityNumber>
        <IsMainPartyType>true</IsMainPartyType>
        <CaseDisplayIdentifier>26211-07-23</CaseDisplayIdentifier>
        <CaseTypeID>63</CaseTypeID>
        <CaseTypeName>ערעור משפחה (עמ"ש)</CaseTypeName>
        <CaseName>משעלי נ' חליווה</CaseName>
        <FullAddress>העצמאות 59 קריית אתא </FullAddress>
        <EmailAddress>nst1@walla.com</EmailAddress>
        <MotionID>0</MotionID>
        <CasePleaID>0</CasePleaID>
        <LinkedCaseID>0</LinkedCaseID>
        <PartyID>1</PartyID>
        <CasePartyCategoryID>2</CasePartyCategoryID>
        <LegalEntityAddressID>84534242</LegalEntityAddressID>
        <LegalEntityEmailAddressID>68000991</LegalEntityEmailAddressID>
        <PleaTypeID>6</PleaTypeID>
        <LawyerOfficeName>משרד עו"ד ניר שם טוב</LawyerOfficeName>
        <LawyerOfficeID>77674398</LawyerOfficeID>
        <GroupPartyAlias/>
        <IsConverted>false</IsConverted>
        <LegalEntityNameID>86755438</LegalEntityNameID>
        <RepresentatedNamesOfAssistant/>
        <LegalEntityTypeID>4</LegalEntityTypeID>
        <IsVerdictExists>false</IsVerdictExists>
        <IsAsirAzir>false</IsAsirAzir>
        <IsPublicationProhibited>false</IsPublicationProhibited>
        <PublicationProhibitedFullName>ניר שם טוב</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הדס פרידמן כהן</FullName>
        <FirstName>הדס</FirstName>
        <LastName>פרידמן כהן</LastName>
        <PartyPropertyName/>
        <AuthenticationTypeAndNumber>מ.ר. 26009</AuthenticationTypeAndNumber>
        <RepresentatedOrRepresentativesNames>אורית חליווה</RepresentatedOrRepresentativesNames>
        <RepresentatedOrRepresentativesCount>1</RepresentatedOrRepresentativesCount>
        <InvitedBy/>
        <CaseID>80420897</CaseID>
        <CaseJudicialPersonPresentationDS>
          <CaseJudicalPersonActive>
            <CaseID>80420897</CaseID>
            <JudicialPersonID>056479827@GOV.IL</JudicialPersonID>
            <JudicialPersonTypeID>1</JudicialPersonTypeID>
            <JudicialTypeID>3</JudicialTypeID>
            <IsChairman>true</IsChairman>
            <TreatmentStartDate>2023-07-12T09:24:18.327+03:00</TreatmentStartDate>
            <TreatmentFinishDate>9999-12-31T23:59:59.997+02:00</TreatmentFinishDate>
            <IdentificationCardNumber>056479827</IdentificationCardNumber>
            <DisplayName>חננאל שרעבי</DisplayName>
            <JudicialTypeName>הרכב שופטים</JudicialTypeName>
            <CaseJudicialGroupNumber>546633</CaseJudicialGroupNumber>
            <FirstName>חננאל</FirstName>
            <LastName>שרעבי</LastName>
            <JudicialPersonTitle>שופט</JudicialPersonTitle>
          </CaseJudicalPersonActive>
          <CaseJudicalPersonActive>
            <CaseID>80420897</CaseID>
            <JudicialPersonID>057955775@GOV.IL</JudicialPersonID>
            <JudicialPersonTypeID>1</JudicialPersonTypeID>
            <JudicialTypeID>3</JudicialTypeID>
            <IsChairman>false</IsChairman>
            <TreatmentStartDate>2023-07-12T09:24:18.327+03:00</TreatmentStartDate>
            <TreatmentFinishDate>9999-12-31T23:59:59.997+02:00</TreatmentFinishDate>
            <IdentificationCardNumber>057955775</IdentificationCardNumber>
            <DisplayName>אספרנצה אלון</DisplayName>
            <JudicialTypeName>הרכב שופטים</JudicialTypeName>
            <CaseJudicialGroupNumber>546633</CaseJudicialGroupNumber>
            <FirstName>אספרנצה</FirstName>
            <LastName>אלון</LastName>
            <JudicialPersonTitle>שופט</JudicialPersonTitle>
          </CaseJudicalPersonActive>
          <CaseJudicalPersonActive>
            <CaseID>80420897</CaseID>
            <JudicialPersonID>058677980@GOV.IL</JudicialPersonID>
            <JudicialPersonTypeID>1</JudicialPersonTypeID>
            <JudicialTypeID>3</JudicialTypeID>
            <IsChairman>false</IsChairman>
            <TreatmentStartDate>2023-07-12T09:24:18.327+03:00</TreatmentStartDate>
            <TreatmentFinishDate>9999-12-31T23:59:59.997+02:00</TreatmentFinishDate>
            <IdentificationCardNumber>058677980</IdentificationCardNumber>
            <DisplayName>אריה נאמן</DisplayName>
            <JudicialTypeName>הרכב שופטים</JudicialTypeName>
            <CaseJudicialGroupNumber>546633</CaseJudicialGroupNumber>
            <FirstName>אריה</FirstName>
            <LastName>נאמן</LastName>
            <JudicialPersonTitle>שופט</JudicialPersonTitle>
          </CaseJudicalPersonActive>
        </CaseJudicialPersonPresentationDS>
        <CasePartyID>258241866</CasePartyID>
        <PartyTypeID>2</PartyTypeID>
        <ActivityStatusID>1</ActivityStatusID>
        <PartyAliasID>23</PartyAliasID>
        <PartyAliasName>בא כוח משיבים</PartyAliasName>
        <LegalEntityID>403139</LegalEntityID>
        <CaseLegalEntityID>125133595</CaseLegalEntityID>
        <AuthenticationTypeID>4</AuthenticationTypeID>
        <AuthenticationTypeName>מ.ר.</AuthenticationTypeName>
        <LegalEntityNumber>26009</LegalEntityNumber>
        <IsMainPartyType>true</IsMainPartyType>
        <CaseDisplayIdentifier>26211-07-23</CaseDisplayIdentifier>
        <CaseTypeID>63</CaseTypeID>
        <CaseTypeName>ערעור משפחה (עמ"ש)</CaseTypeName>
        <CaseName>משעלי נ' חליווה</CaseName>
        <FullAddress>שיבת ציון 38 חיפה </FullAddress>
        <EmailAddress>Hadas@hfclaw.co.il</EmailAddress>
        <MotionID>0</MotionID>
        <CasePleaID>0</CasePleaID>
        <LinkedCaseID>0</LinkedCaseID>
        <PartyID>2</PartyID>
        <CasePartyCategoryID>2</CasePartyCategoryID>
        <LegalEntityAddressID>78734117</LegalEntityAddressID>
        <LegalEntityEmailAddressID>68185696</LegalEntityEmailAddressID>
        <PleaTypeID>6</PleaTypeID>
        <LawyerOfficeName>משרד עו"ד: הדס פרידמן כהן</LawyerOfficeName>
        <LawyerOfficeID>443783</LawyerOfficeID>
        <GroupPartyAlias/>
        <IsConverted>false</IsConverted>
        <LegalEntityNameID>24123</LegalEntityNameID>
        <RepresentatedNamesOfAssistant/>
        <LegalEntityTypeID>4</LegalEntityTypeID>
        <IsVerdictExists>false</IsVerdictExists>
        <IsAsirAzir>false</IsAsirAzir>
        <IsPublicationProhibited>false</IsPublicationProhibited>
        <PublicationProhibitedFullName>הדס פרידמן כהן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עמוס צדיקה</FullName>
        <FirstName>עמוס</FirstName>
        <LastName>צדיקה</LastName>
        <PartyPropertyName/>
        <AuthenticationTypeAndNumber>מ.ר. 21647</AuthenticationTypeAndNumber>
        <RepresentatedOrRepresentativesNames>עמירן משעלי</RepresentatedOrRepresentativesNames>
        <RepresentatedOrRepresentativesCount>1</RepresentatedOrRepresentativesCount>
        <InvitedBy/>
        <CaseID>80420897</CaseID>
        <CaseJudicialPersonPresentationDS>
          <CaseJudicalPersonActive>
            <CaseID>80420897</CaseID>
            <JudicialPersonID>056479827@GOV.IL</JudicialPersonID>
            <JudicialPersonTypeID>1</JudicialPersonTypeID>
            <JudicialTypeID>3</JudicialTypeID>
            <IsChairman>true</IsChairman>
            <TreatmentStartDate>2023-07-12T09:24:18.327+03:00</TreatmentStartDate>
            <TreatmentFinishDate>9999-12-31T23:59:59.997+02:00</TreatmentFinishDate>
            <IdentificationCardNumber>056479827</IdentificationCardNumber>
            <DisplayName>חננאל שרעבי</DisplayName>
            <JudicialTypeName>הרכב שופטים</JudicialTypeName>
            <CaseJudicialGroupNumber>546633</CaseJudicialGroupNumber>
            <FirstName>חננאל</FirstName>
            <LastName>שרעבי</LastName>
            <JudicialPersonTitle>שופט</JudicialPersonTitle>
          </CaseJudicalPersonActive>
          <CaseJudicalPersonActive>
            <CaseID>80420897</CaseID>
            <JudicialPersonID>057955775@GOV.IL</JudicialPersonID>
            <JudicialPersonTypeID>1</JudicialPersonTypeID>
            <JudicialTypeID>3</JudicialTypeID>
            <IsChairman>false</IsChairman>
            <TreatmentStartDate>2023-07-12T09:24:18.327+03:00</TreatmentStartDate>
            <TreatmentFinishDate>9999-12-31T23:59:59.997+02:00</TreatmentFinishDate>
            <IdentificationCardNumber>057955775</IdentificationCardNumber>
            <DisplayName>אספרנצה אלון</DisplayName>
            <JudicialTypeName>הרכב שופטים</JudicialTypeName>
            <CaseJudicialGroupNumber>546633</CaseJudicialGroupNumber>
            <FirstName>אספרנצה</FirstName>
            <LastName>אלון</LastName>
            <JudicialPersonTitle>שופט</JudicialPersonTitle>
          </CaseJudicalPersonActive>
          <CaseJudicalPersonActive>
            <CaseID>80420897</CaseID>
            <JudicialPersonID>058677980@GOV.IL</JudicialPersonID>
            <JudicialPersonTypeID>1</JudicialPersonTypeID>
            <JudicialTypeID>3</JudicialTypeID>
            <IsChairman>false</IsChairman>
            <TreatmentStartDate>2023-07-12T09:24:18.327+03:00</TreatmentStartDate>
            <TreatmentFinishDate>9999-12-31T23:59:59.997+02:00</TreatmentFinishDate>
            <IdentificationCardNumber>058677980</IdentificationCardNumber>
            <DisplayName>אריה נאמן</DisplayName>
            <JudicialTypeName>הרכב שופטים</JudicialTypeName>
            <CaseJudicialGroupNumber>546633</CaseJudicialGroupNumber>
            <FirstName>אריה</FirstName>
            <LastName>נאמן</LastName>
            <JudicialPersonTitle>שופט</JudicialPersonTitle>
          </CaseJudicalPersonActive>
        </CaseJudicialPersonPresentationDS>
        <CasePartyID>258241708</CasePartyID>
        <PartyTypeID>2</PartyTypeID>
        <ActivityStatusID>1</ActivityStatusID>
        <PartyAliasID>24</PartyAliasID>
        <PartyAliasName>בא כוח מערערים</PartyAliasName>
        <OrdinalNumber>1</OrdinalNumber>
        <LegalEntityID>381819</LegalEntityID>
        <CaseLegalEntityID>125133521</CaseLegalEntityID>
        <AuthenticationTypeID>4</AuthenticationTypeID>
        <AuthenticationTypeName>מ.ר.</AuthenticationTypeName>
        <LegalEntityNumber>21647</LegalEntityNumber>
        <IsMainPartyType>true</IsMainPartyType>
        <CaseDisplayIdentifier>26211-07-23</CaseDisplayIdentifier>
        <CaseTypeID>63</CaseTypeID>
        <CaseTypeName>ערעור משפחה (עמ"ש)</CaseTypeName>
        <CaseName>משעלי נ' חליווה</CaseName>
        <FullAddress>פל ים 2 חיפה בנין אורן קומה 2</FullAddress>
        <EmailAddress>sadikaamos@gmail.com</EmailAddress>
        <MotionID>0</MotionID>
        <CasePleaID>0</CasePleaID>
        <FatherName xml:space="preserve">        </FatherName>
        <LinkedCaseID>0</LinkedCaseID>
        <PartyID>1</PartyID>
        <CasePartyCategoryID>2</CasePartyCategoryID>
        <LegalEntityAddressID>75738494</LegalEntityAddressID>
        <LegalEntityEmailAddressID>43827887</LegalEntityEmailAddressID>
        <PleaTypeID>6</PleaTypeID>
        <LawyerOfficeName>משרד עו"ד: עמוס צדיקה</LawyerOfficeName>
        <LawyerOfficeID>422463</LawyerOfficeID>
        <GroupPartyAlias/>
        <IsConverted>false</IsConverted>
        <LegalEntityNameID>2803</LegalEntityNameID>
        <RepresentatedNamesOfAssistant/>
        <LegalEntityTypeID>4</LegalEntityTypeID>
        <IsVerdictExists>false</IsVerdictExists>
        <IsAsirAzir>false</IsAsirAzir>
        <IsPublicationProhibited>false</IsPublicationProhibited>
        <PublicationProhibitedFullName>עמוס צדיקה</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עמירן משעלי</FullName>
        <FirstName>עמירן</FirstName>
        <LastName>משעלי</LastName>
        <PartyPropertyName/>
        <AuthenticationTypeAndNumber>ת"ז 029577616</AuthenticationTypeAndNumber>
        <RepresentatedOrRepresentativesNames>עמוס צדיקה, ניר שם טוב</RepresentatedOrRepresentativesNames>
        <RepresentatedOrRepresentativesCount>2</RepresentatedOrRepresentativesCount>
        <InvitedBy/>
        <CaseID>80420897</CaseID>
        <CaseJudicialPersonPresentationDS>
          <CaseJudicalPersonActive>
            <CaseID>80420897</CaseID>
            <JudicialPersonID>056479827@GOV.IL</JudicialPersonID>
            <JudicialPersonTypeID>1</JudicialPersonTypeID>
            <JudicialTypeID>3</JudicialTypeID>
            <IsChairman>true</IsChairman>
            <TreatmentStartDate>2023-07-12T09:24:18.327+03:00</TreatmentStartDate>
            <TreatmentFinishDate>9999-12-31T23:59:59.997+02:00</TreatmentFinishDate>
            <IdentificationCardNumber>056479827</IdentificationCardNumber>
            <DisplayName>חננאל שרעבי</DisplayName>
            <JudicialTypeName>הרכב שופטים</JudicialTypeName>
            <CaseJudicialGroupNumber>546633</CaseJudicialGroupNumber>
            <FirstName>חננאל</FirstName>
            <LastName>שרעבי</LastName>
            <JudicialPersonTitle>שופט</JudicialPersonTitle>
          </CaseJudicalPersonActive>
          <CaseJudicalPersonActive>
            <CaseID>80420897</CaseID>
            <JudicialPersonID>057955775@GOV.IL</JudicialPersonID>
            <JudicialPersonTypeID>1</JudicialPersonTypeID>
            <JudicialTypeID>3</JudicialTypeID>
            <IsChairman>false</IsChairman>
            <TreatmentStartDate>2023-07-12T09:24:18.327+03:00</TreatmentStartDate>
            <TreatmentFinishDate>9999-12-31T23:59:59.997+02:00</TreatmentFinishDate>
            <IdentificationCardNumber>057955775</IdentificationCardNumber>
            <DisplayName>אספרנצה אלון</DisplayName>
            <JudicialTypeName>הרכב שופטים</JudicialTypeName>
            <CaseJudicialGroupNumber>546633</CaseJudicialGroupNumber>
            <FirstName>אספרנצה</FirstName>
            <LastName>אלון</LastName>
            <JudicialPersonTitle>שופט</JudicialPersonTitle>
          </CaseJudicalPersonActive>
          <CaseJudicalPersonActive>
            <CaseID>80420897</CaseID>
            <JudicialPersonID>058677980@GOV.IL</JudicialPersonID>
            <JudicialPersonTypeID>1</JudicialPersonTypeID>
            <JudicialTypeID>3</JudicialTypeID>
            <IsChairman>false</IsChairman>
            <TreatmentStartDate>2023-07-12T09:24:18.327+03:00</TreatmentStartDate>
            <TreatmentFinishDate>9999-12-31T23:59:59.997+02:00</TreatmentFinishDate>
            <IdentificationCardNumber>058677980</IdentificationCardNumber>
            <DisplayName>אריה נאמן</DisplayName>
            <JudicialTypeName>הרכב שופטים</JudicialTypeName>
            <CaseJudicialGroupNumber>546633</CaseJudicialGroupNumber>
            <FirstName>אריה</FirstName>
            <LastName>נאמן</LastName>
            <JudicialPersonTitle>שופט</JudicialPersonTitle>
          </CaseJudicalPersonActive>
        </CaseJudicialPersonPresentationDS>
        <CasePartyID>258241706</CasePartyID>
        <PartyTypeID>1</PartyTypeID>
        <ActivityStatusID>1</ActivityStatusID>
        <PartyAliasID>5</PartyAliasID>
        <PartyAliasName>מערער</PartyAliasName>
        <OrdinalNumber>1</OrdinalNumber>
        <LegalEntityID>71555292</LegalEntityID>
        <CaseLegalEntityID>125133519</CaseLegalEntityID>
        <AuthenticationTypeID>1</AuthenticationTypeID>
        <AuthenticationTypeName>ת"ז</AuthenticationTypeName>
        <LegalEntityNumber>029577616</LegalEntityNumber>
        <IsMainPartyType>true</IsMainPartyType>
        <CaseDisplayIdentifier>26211-07-23</CaseDisplayIdentifier>
        <CaseTypeID>63</CaseTypeID>
        <CaseTypeName>ערעור משפחה (עמ"ש)</CaseTypeName>
        <CaseName>משעלי נ' חליווה</CaseName>
        <FullAddress>יהודה הלוי 12 קריית אתא </FullAddress>
        <MotionID>0</MotionID>
        <CasePleaID>0</CasePleaID>
        <FatherName>אברהם</FatherName>
        <LinkedCaseID>0</LinkedCaseID>
        <PartyID>1</PartyID>
        <CasePartyCategoryID>2</CasePartyCategoryID>
        <LegalEntityAddressID>88157867</LegalEntityAddressID>
        <GrandfatherName/>
        <DrivingLicenseNumber>6149106</DrivingLicenseNumber>
        <PleaTypeID>6</PleaTypeID>
        <GroupPartyAlias>מערערים</GroupPartyAlias>
        <IsConverted>false</IsConverted>
        <LegalEntityRegisteredNameID>10414062</LegalEntityRegisteredNameID>
        <LegalEntityNameID>88414239</LegalEntityNameID>
        <RepresentatedNamesOfAssistant/>
        <LegalEntityTypeID>1</LegalEntityTypeID>
        <IsVerdictExists>false</IsVerdictExists>
        <IsAsirAzir>false</IsAsirAzir>
        <IsPublicationProhibited>false</IsPublicationProhibited>
        <PublicationProhibitedFullName>עמירן משעלי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אורית חליווה</FullName>
        <FirstName>אורית אילה</FirstName>
        <LastName>חליווה</LastName>
        <PartyPropertyName/>
        <AuthenticationTypeAndNumber>ת"ז 036058659</AuthenticationTypeAndNumber>
        <RepresentatedOrRepresentativesNames>הדס פרידמן כהן</RepresentatedOrRepresentativesNames>
        <RepresentatedOrRepresentativesCount>1</RepresentatedOrRepresentativesCount>
        <InvitedBy/>
        <CaseID>80420897</CaseID>
        <CaseJudicialPersonPresentationDS>
          <CaseJudicalPersonActive>
            <CaseID>80420897</CaseID>
            <JudicialPersonID>056479827@GOV.IL</JudicialPersonID>
            <JudicialPersonTypeID>1</JudicialPersonTypeID>
            <JudicialTypeID>3</JudicialTypeID>
            <IsChairman>true</IsChairman>
            <TreatmentStartDate>2023-07-12T09:24:18.327+03:00</TreatmentStartDate>
            <TreatmentFinishDate>9999-12-31T23:59:59.997+02:00</TreatmentFinishDate>
            <IdentificationCardNumber>056479827</IdentificationCardNumber>
            <DisplayName>חננאל שרעבי</DisplayName>
            <JudicialTypeName>הרכב שופטים</JudicialTypeName>
            <CaseJudicialGroupNumber>546633</CaseJudicialGroupNumber>
            <FirstName>חננאל</FirstName>
            <LastName>שרעבי</LastName>
            <JudicialPersonTitle>שופט</JudicialPersonTitle>
          </CaseJudicalPersonActive>
          <CaseJudicalPersonActive>
            <CaseID>80420897</CaseID>
            <JudicialPersonID>057955775@GOV.IL</JudicialPersonID>
            <JudicialPersonTypeID>1</JudicialPersonTypeID>
            <JudicialTypeID>3</JudicialTypeID>
            <IsChairman>false</IsChairman>
            <TreatmentStartDate>2023-07-12T09:24:18.327+03:00</TreatmentStartDate>
            <TreatmentFinishDate>9999-12-31T23:59:59.997+02:00</TreatmentFinishDate>
            <IdentificationCardNumber>057955775</IdentificationCardNumber>
            <DisplayName>אספרנצה אלון</DisplayName>
            <JudicialTypeName>הרכב שופטים</JudicialTypeName>
            <CaseJudicialGroupNumber>546633</CaseJudicialGroupNumber>
            <FirstName>אספרנצה</FirstName>
            <LastName>אלון</LastName>
            <JudicialPersonTitle>שופט</JudicialPersonTitle>
          </CaseJudicalPersonActive>
          <CaseJudicalPersonActive>
            <CaseID>80420897</CaseID>
            <JudicialPersonID>058677980@GOV.IL</JudicialPersonID>
            <JudicialPersonTypeID>1</JudicialPersonTypeID>
            <JudicialTypeID>3</JudicialTypeID>
            <IsChairman>false</IsChairman>
            <TreatmentStartDate>2023-07-12T09:24:18.327+03:00</TreatmentStartDate>
            <TreatmentFinishDate>9999-12-31T23:59:59.997+02:00</TreatmentFinishDate>
            <IdentificationCardNumber>058677980</IdentificationCardNumber>
            <DisplayName>אריה נאמן</DisplayName>
            <JudicialTypeName>הרכב שופטים</JudicialTypeName>
            <CaseJudicialGroupNumber>546633</CaseJudicialGroupNumber>
            <FirstName>אריה</FirstName>
            <LastName>נאמן</LastName>
            <JudicialPersonTitle>שופט</JudicialPersonTitle>
          </CaseJudicalPersonActive>
        </CaseJudicialPersonPresentationDS>
        <CasePartyID>258241707</CasePartyID>
        <PartyTypeID>1</PartyTypeID>
        <ActivityStatusID>1</ActivityStatusID>
        <PartyAliasID>4</PartyAliasID>
        <PartyAliasName>משיב</PartyAliasName>
        <OrdinalNumber>1</OrdinalNumber>
        <LegalEntityID>12679547</LegalEntityID>
        <CaseLegalEntityID>125133520</CaseLegalEntityID>
        <AuthenticationTypeID>1</AuthenticationTypeID>
        <AuthenticationTypeName>ת"ז</AuthenticationTypeName>
        <LegalEntityNumber>036058659</LegalEntityNumber>
        <IsMainPartyType>true</IsMainPartyType>
        <CaseDisplayIdentifier>26211-07-23</CaseDisplayIdentifier>
        <CaseTypeID>63</CaseTypeID>
        <CaseTypeName>ערעור משפחה (עמ"ש)</CaseTypeName>
        <CaseName>משעלי נ' חליווה</CaseName>
        <FullAddress>דרך הים 191 חיפה </FullAddress>
        <MotionID>0</MotionID>
        <CasePleaID>0</CasePleaID>
        <FatherName>שמעון</FatherName>
        <LinkedCaseID>0</LinkedCaseID>
        <PartyID>2</PartyID>
        <CasePartyCategoryID>2</CasePartyCategoryID>
        <LegalEntityAddressID>88157873</LegalEntityAddressID>
        <PleaTypeID>6</PleaTypeID>
        <GroupPartyAlias>משיבים</GroupPartyAlias>
        <IsConverted>false</IsConverted>
        <LegalEntityRegisteredNameID>4828565</LegalEntityRegisteredNameID>
        <LegalEntityNameID>88414240</LegalEntityNameID>
        <RepresentatedNamesOfAssistant/>
        <LegalEntityTypeID>1</LegalEntityTypeID>
        <IsVerdictExists>false</IsVerdictExists>
        <IsAsirAzir>false</IsAsirAzir>
        <IsPublicationProhibited>false</IsPublicationProhibited>
        <PublicationProhibitedFullName>אורית חליווה</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true</IsCaseJudgePanel>
    <DecisionSignatureDate>2023-12-25T13:29:35.0419601+02:00</DecisionSignatureDate>
    <OpenCaseDate>2023-07-11T14:56:00+03:00</OpenCaseDate>
    <CaseFeeSum>0.000</CaseFeeSum>
    <DecisionTypeID>2</DecisionTypeID>
    <DecisionSignatureUserName>חננאל שרעבי</DecisionSignatureUserName>
    <DecisionSignatureDateHebrew>2023-12-25T13:29:35.0419601+02:00</DecisionSignatureDateHebrew>
    <DecisionWriterID>056479827@GOV.IL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משעלי נ' חליווה</CaseName>
    <DecisionNumberInCase>8</DecisionNumberInCase>
  </dt_Decision>
  <dt_DecisionCase>
    <DecisionID>0</DecisionID>
    <CaseID>80420897</CaseID>
    <CaseJudicialPersonPresentationDS>
      <CaseJudicalPersonActive>
        <CaseID>80420897</CaseID>
        <JudicialPersonID>056479827@GOV.IL</JudicialPersonID>
        <JudicialPersonTypeID>1</JudicialPersonTypeID>
        <JudicialTypeID>3</JudicialTypeID>
        <IsChairman>true</IsChairman>
        <TreatmentStartDate>2023-07-12T09:24:18.327+03:00</TreatmentStartDate>
        <TreatmentFinishDate>9999-12-31T23:59:59.997+02:00</TreatmentFinishDate>
        <IdentificationCardNumber>056479827</IdentificationCardNumber>
        <DisplayName>חננאל שרעבי</DisplayName>
        <JudicialTypeName>הרכב שופטים</JudicialTypeName>
        <CaseJudicialGroupNumber>546633</CaseJudicialGroupNumber>
        <FirstName>חננאל</FirstName>
        <LastName>שרעבי</LastName>
        <JudicialPersonTitle>שופט</JudicialPersonTitle>
      </CaseJudicalPersonActive>
      <CaseJudicalPersonActive>
        <CaseID>80420897</CaseID>
        <JudicialPersonID>057955775@GOV.IL</JudicialPersonID>
        <JudicialPersonTypeID>1</JudicialPersonTypeID>
        <JudicialTypeID>3</JudicialTypeID>
        <IsChairman>false</IsChairman>
        <TreatmentStartDate>2023-07-12T09:24:18.327+03:00</TreatmentStartDate>
        <TreatmentFinishDate>9999-12-31T23:59:59.997+02:00</TreatmentFinishDate>
        <IdentificationCardNumber>057955775</IdentificationCardNumber>
        <DisplayName>אספרנצה אלון</DisplayName>
        <JudicialTypeName>הרכב שופטים</JudicialTypeName>
        <CaseJudicialGroupNumber>546633</CaseJudicialGroupNumber>
        <FirstName>אספרנצה</FirstName>
        <LastName>אלון</LastName>
        <JudicialPersonTitle>שופט</JudicialPersonTitle>
      </CaseJudicalPersonActive>
      <CaseJudicalPersonActive>
        <CaseID>80420897</CaseID>
        <JudicialPersonID>058677980@GOV.IL</JudicialPersonID>
        <JudicialPersonTypeID>1</JudicialPersonTypeID>
        <JudicialTypeID>3</JudicialTypeID>
        <IsChairman>false</IsChairman>
        <TreatmentStartDate>2023-07-12T09:24:18.327+03:00</TreatmentStartDate>
        <TreatmentFinishDate>9999-12-31T23:59:59.997+02:00</TreatmentFinishDate>
        <IdentificationCardNumber>058677980</IdentificationCardNumber>
        <DisplayName>אריה נאמן</DisplayName>
        <JudicialTypeName>הרכב שופטים</JudicialTypeName>
        <CaseJudicialGroupNumber>546633</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ניר שם טוב</FullName>
        <FirstName>ניר</FirstName>
        <LastName>שם טוב</LastName>
        <PartyPropertyName/>
        <AuthenticationTypeAndNumber>מ.ר. 73294</AuthenticationTypeAndNumber>
        <RepresentatedOrRepresentativesNames>עמירן משעלי</RepresentatedOrRepresentativesNames>
        <RepresentatedOrRepresentativesCount>1</RepresentatedOrRepresentativesCount>
        <InvitedBy/>
        <CaseID>80420897</CaseID>
        <CaseJudicialPersonPresentationDS>
          <CaseJudicalPersonActive>
            <CaseID>80420897</CaseID>
            <JudicialPersonID>056479827@GOV.IL</JudicialPersonID>
            <JudicialPersonTypeID>1</JudicialPersonTypeID>
            <JudicialTypeID>3</JudicialTypeID>
            <IsChairman>true</IsChairman>
            <TreatmentStartDate>2023-07-12T09:24:18.327+03:00</TreatmentStartDate>
            <TreatmentFinishDate>9999-12-31T23:59:59.997+02:00</TreatmentFinishDate>
            <IdentificationCardNumber>056479827</IdentificationCardNumber>
            <DisplayName>חננאל שרעבי</DisplayName>
            <JudicialTypeName>הרכב שופטים</JudicialTypeName>
            <CaseJudicialGroupNumber>546633</CaseJudicialGroupNumber>
            <FirstName>חננאל</FirstName>
            <LastName>שרעבי</LastName>
            <JudicialPersonTitle>שופט</JudicialPersonTitle>
          </CaseJudicalPersonActive>
          <CaseJudicalPersonActive>
            <CaseID>80420897</CaseID>
            <JudicialPersonID>057955775@GOV.IL</JudicialPersonID>
            <JudicialPersonTypeID>1</JudicialPersonTypeID>
            <JudicialTypeID>3</JudicialTypeID>
            <IsChairman>false</IsChairman>
            <TreatmentStartDate>2023-07-12T09:24:18.327+03:00</TreatmentStartDate>
            <TreatmentFinishDate>9999-12-31T23:59:59.997+02:00</TreatmentFinishDate>
            <IdentificationCardNumber>057955775</IdentificationCardNumber>
            <DisplayName>אספרנצה אלון</DisplayName>
            <JudicialTypeName>הרכב שופטים</JudicialTypeName>
            <CaseJudicialGroupNumber>546633</CaseJudicialGroupNumber>
            <FirstName>אספרנצה</FirstName>
            <LastName>אלון</LastName>
            <JudicialPersonTitle>שופט</JudicialPersonTitle>
          </CaseJudicalPersonActive>
          <CaseJudicalPersonActive>
            <CaseID>80420897</CaseID>
            <JudicialPersonID>058677980@GOV.IL</JudicialPersonID>
            <JudicialPersonTypeID>1</JudicialPersonTypeID>
            <JudicialTypeID>3</JudicialTypeID>
            <IsChairman>false</IsChairman>
            <TreatmentStartDate>2023-07-12T09:24:18.327+03:00</TreatmentStartDate>
            <TreatmentFinishDate>9999-12-31T23:59:59.997+02:00</TreatmentFinishDate>
            <IdentificationCardNumber>058677980</IdentificationCardNumber>
            <DisplayName>אריה נאמן</DisplayName>
            <JudicialTypeName>הרכב שופטים</JudicialTypeName>
            <CaseJudicialGroupNumber>546633</CaseJudicialGroupNumber>
            <FirstName>אריה</FirstName>
            <LastName>נאמן</LastName>
            <JudicialPersonTitle>שופט</JudicialPersonTitle>
          </CaseJudicalPersonActive>
        </CaseJudicialPersonPresentationDS>
        <CasePartyID>258254125</CasePartyID>
        <PartyTypeID>2</PartyTypeID>
        <ActivityStatusID>1</ActivityStatusID>
        <PartyAliasID>24</PartyAliasID>
        <PartyAliasName>בא כוח מערערים</PartyAliasName>
        <LegalEntityID>77674397</LegalEntityID>
        <CaseLegalEntityID>125137543</CaseLegalEntityID>
        <AuthenticationTypeID>4</AuthenticationTypeID>
        <AuthenticationTypeName>מ.ר.</AuthenticationTypeName>
        <LegalEntityNumber>73294</LegalEntityNumber>
        <IsMainPartyType>true</IsMainPartyType>
        <CaseDisplayIdentifier>26211-07-23</CaseDisplayIdentifier>
        <CaseTypeID>63</CaseTypeID>
        <CaseTypeName>ערעור משפחה (עמ"ש)</CaseTypeName>
        <CaseName>משעלי נ' חליווה</CaseName>
        <FullAddress>העצמאות 59 קריית אתא </FullAddress>
        <EmailAddress>nst1@walla.com</EmailAddress>
        <MotionID>0</MotionID>
        <CasePleaID>0</CasePleaID>
        <LinkedCaseID>0</LinkedCaseID>
        <PartyID>1</PartyID>
        <CasePartyCategoryID>2</CasePartyCategoryID>
        <LegalEntityAddressID>84534242</LegalEntityAddressID>
        <LegalEntityEmailAddressID>68000991</LegalEntityEmailAddressID>
        <PleaTypeID>6</PleaTypeID>
        <LawyerOfficeName>משרד עו"ד ניר שם טוב</LawyerOfficeName>
        <LawyerOfficeID>77674398</LawyerOfficeID>
        <GroupPartyAlias/>
        <IsConverted>false</IsConverted>
        <LegalEntityNameID>86755438</LegalEntityNameID>
        <RepresentatedNamesOfAssistant/>
        <LegalEntityTypeID>4</LegalEntityTypeID>
        <IsVerdictExists>false</IsVerdictExists>
        <IsAsirAzir>false</IsAsirAzir>
        <IsPublicationProhibited>false</IsPublicationProhibited>
        <PublicationProhibitedFullName>ניר שם טוב</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הדס פרידמן כהן</FullName>
        <FirstName>הדס</FirstName>
        <LastName>פרידמן כהן</LastName>
        <PartyPropertyName/>
        <AuthenticationTypeAndNumber>מ.ר. 26009</AuthenticationTypeAndNumber>
        <RepresentatedOrRepresentativesNames>אורית חליווה</RepresentatedOrRepresentativesNames>
        <RepresentatedOrRepresentativesCount>1</RepresentatedOrRepresentativesCount>
        <InvitedBy/>
        <CaseID>80420897</CaseID>
        <CaseJudicialPersonPresentationDS>
          <CaseJudicalPersonActive>
            <CaseID>80420897</CaseID>
            <JudicialPersonID>056479827@GOV.IL</JudicialPersonID>
            <JudicialPersonTypeID>1</JudicialPersonTypeID>
            <JudicialTypeID>3</JudicialTypeID>
            <IsChairman>true</IsChairman>
            <TreatmentStartDate>2023-07-12T09:24:18.327+03:00</TreatmentStartDate>
            <TreatmentFinishDate>9999-12-31T23:59:59.997+02:00</TreatmentFinishDate>
            <IdentificationCardNumber>056479827</IdentificationCardNumber>
            <DisplayName>חננאל שרעבי</DisplayName>
            <JudicialTypeName>הרכב שופטים</JudicialTypeName>
            <CaseJudicialGroupNumber>546633</CaseJudicialGroupNumber>
            <FirstName>חננאל</FirstName>
            <LastName>שרעבי</LastName>
            <JudicialPersonTitle>שופט</JudicialPersonTitle>
          </CaseJudicalPersonActive>
          <CaseJudicalPersonActive>
            <CaseID>80420897</CaseID>
            <JudicialPersonID>057955775@GOV.IL</JudicialPersonID>
            <JudicialPersonTypeID>1</JudicialPersonTypeID>
            <JudicialTypeID>3</JudicialTypeID>
            <IsChairman>false</IsChairman>
            <TreatmentStartDate>2023-07-12T09:24:18.327+03:00</TreatmentStartDate>
            <TreatmentFinishDate>9999-12-31T23:59:59.997+02:00</TreatmentFinishDate>
            <IdentificationCardNumber>057955775</IdentificationCardNumber>
            <DisplayName>אספרנצה אלון</DisplayName>
            <JudicialTypeName>הרכב שופטים</JudicialTypeName>
            <CaseJudicialGroupNumber>546633</CaseJudicialGroupNumber>
            <FirstName>אספרנצה</FirstName>
            <LastName>אלון</LastName>
            <JudicialPersonTitle>שופט</JudicialPersonTitle>
          </CaseJudicalPersonActive>
          <CaseJudicalPersonActive>
            <CaseID>80420897</CaseID>
            <JudicialPersonID>058677980@GOV.IL</JudicialPersonID>
            <JudicialPersonTypeID>1</JudicialPersonTypeID>
            <JudicialTypeID>3</JudicialTypeID>
            <IsChairman>false</IsChairman>
            <TreatmentStartDate>2023-07-12T09:24:18.327+03:00</TreatmentStartDate>
            <TreatmentFinishDate>9999-12-31T23:59:59.997+02:00</TreatmentFinishDate>
            <IdentificationCardNumber>058677980</IdentificationCardNumber>
            <DisplayName>אריה נאמן</DisplayName>
            <JudicialTypeName>הרכב שופטים</JudicialTypeName>
            <CaseJudicialGroupNumber>546633</CaseJudicialGroupNumber>
            <FirstName>אריה</FirstName>
            <LastName>נאמן</LastName>
            <JudicialPersonTitle>שופט</JudicialPersonTitle>
          </CaseJudicalPersonActive>
        </CaseJudicialPersonPresentationDS>
        <CasePartyID>258241866</CasePartyID>
        <PartyTypeID>2</PartyTypeID>
        <ActivityStatusID>1</ActivityStatusID>
        <PartyAliasID>23</PartyAliasID>
        <PartyAliasName>בא כוח משיבים</PartyAliasName>
        <LegalEntityID>403139</LegalEntityID>
        <CaseLegalEntityID>125133595</CaseLegalEntityID>
        <AuthenticationTypeID>4</AuthenticationTypeID>
        <AuthenticationTypeName>מ.ר.</AuthenticationTypeName>
        <LegalEntityNumber>26009</LegalEntityNumber>
        <IsMainPartyType>true</IsMainPartyType>
        <CaseDisplayIdentifier>26211-07-23</CaseDisplayIdentifier>
        <CaseTypeID>63</CaseTypeID>
        <CaseTypeName>ערעור משפחה (עמ"ש)</CaseTypeName>
        <CaseName>משעלי נ' חליווה</CaseName>
        <FullAddress>שיבת ציון 38 חיפה </FullAddress>
        <EmailAddress>Hadas@hfclaw.co.il</EmailAddress>
        <MotionID>0</MotionID>
        <CasePleaID>0</CasePleaID>
        <LinkedCaseID>0</LinkedCaseID>
        <PartyID>2</PartyID>
        <CasePartyCategoryID>2</CasePartyCategoryID>
        <LegalEntityAddressID>78734117</LegalEntityAddressID>
        <LegalEntityEmailAddressID>68185696</LegalEntityEmailAddressID>
        <PleaTypeID>6</PleaTypeID>
        <LawyerOfficeName>משרד עו"ד: הדס פרידמן כהן</LawyerOfficeName>
        <LawyerOfficeID>443783</LawyerOfficeID>
        <GroupPartyAlias/>
        <IsConverted>false</IsConverted>
        <LegalEntityNameID>24123</LegalEntityNameID>
        <RepresentatedNamesOfAssistant/>
        <LegalEntityTypeID>4</LegalEntityTypeID>
        <IsVerdictExists>false</IsVerdictExists>
        <IsAsirAzir>false</IsAsirAzir>
        <IsPublicationProhibited>false</IsPublicationProhibited>
        <PublicationProhibitedFullName>הדס פרידמן כהן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עמוס צדיקה</FullName>
        <FirstName>עמוס</FirstName>
        <LastName>צדיקה</LastName>
        <PartyPropertyName/>
        <AuthenticationTypeAndNumber>מ.ר. 21647</AuthenticationTypeAndNumber>
        <RepresentatedOrRepresentativesNames>עמירן משעלי</RepresentatedOrRepresentativesNames>
        <RepresentatedOrRepresentativesCount>1</RepresentatedOrRepresentativesCount>
        <InvitedBy/>
        <CaseID>80420897</CaseID>
        <CaseJudicialPersonPresentationDS>
          <CaseJudicalPersonActive>
            <CaseID>80420897</CaseID>
            <JudicialPersonID>056479827@GOV.IL</JudicialPersonID>
            <JudicialPersonTypeID>1</JudicialPersonTypeID>
            <JudicialTypeID>3</JudicialTypeID>
            <IsChairman>true</IsChairman>
            <TreatmentStartDate>2023-07-12T09:24:18.327+03:00</TreatmentStartDate>
            <TreatmentFinishDate>9999-12-31T23:59:59.997+02:00</TreatmentFinishDate>
            <IdentificationCardNumber>056479827</IdentificationCardNumber>
            <DisplayName>חננאל שרעבי</DisplayName>
            <JudicialTypeName>הרכב שופטים</JudicialTypeName>
            <CaseJudicialGroupNumber>546633</CaseJudicialGroupNumber>
            <FirstName>חננאל</FirstName>
            <LastName>שרעבי</LastName>
            <JudicialPersonTitle>שופט</JudicialPersonTitle>
          </CaseJudicalPersonActive>
          <CaseJudicalPersonActive>
            <CaseID>80420897</CaseID>
            <JudicialPersonID>057955775@GOV.IL</JudicialPersonID>
            <JudicialPersonTypeID>1</JudicialPersonTypeID>
            <JudicialTypeID>3</JudicialTypeID>
            <IsChairman>false</IsChairman>
            <TreatmentStartDate>2023-07-12T09:24:18.327+03:00</TreatmentStartDate>
            <TreatmentFinishDate>9999-12-31T23:59:59.997+02:00</TreatmentFinishDate>
            <IdentificationCardNumber>057955775</IdentificationCardNumber>
            <DisplayName>אספרנצה אלון</DisplayName>
            <JudicialTypeName>הרכב שופטים</JudicialTypeName>
            <CaseJudicialGroupNumber>546633</CaseJudicialGroupNumber>
            <FirstName>אספרנצה</FirstName>
            <LastName>אלון</LastName>
            <JudicialPersonTitle>שופט</JudicialPersonTitle>
          </CaseJudicalPersonActive>
          <CaseJudicalPersonActive>
            <CaseID>80420897</CaseID>
            <JudicialPersonID>058677980@GOV.IL</JudicialPersonID>
            <JudicialPersonTypeID>1</JudicialPersonTypeID>
            <JudicialTypeID>3</JudicialTypeID>
            <IsChairman>false</IsChairman>
            <TreatmentStartDate>2023-07-12T09:24:18.327+03:00</TreatmentStartDate>
            <TreatmentFinishDate>9999-12-31T23:59:59.997+02:00</TreatmentFinishDate>
            <IdentificationCardNumber>058677980</IdentificationCardNumber>
            <DisplayName>אריה נאמן</DisplayName>
            <JudicialTypeName>הרכב שופטים</JudicialTypeName>
            <CaseJudicialGroupNumber>546633</CaseJudicialGroupNumber>
            <FirstName>אריה</FirstName>
            <LastName>נאמן</LastName>
            <JudicialPersonTitle>שופט</JudicialPersonTitle>
          </CaseJudicalPersonActive>
        </CaseJudicialPersonPresentationDS>
        <CasePartyID>258241708</CasePartyID>
        <PartyTypeID>2</PartyTypeID>
        <ActivityStatusID>1</ActivityStatusID>
        <PartyAliasID>24</PartyAliasID>
        <PartyAliasName>בא כוח מערערים</PartyAliasName>
        <OrdinalNumber>1</OrdinalNumber>
        <LegalEntityID>381819</LegalEntityID>
        <CaseLegalEntityID>125133521</CaseLegalEntityID>
        <AuthenticationTypeID>4</AuthenticationTypeID>
        <AuthenticationTypeName>מ.ר.</AuthenticationTypeName>
        <LegalEntityNumber>21647</LegalEntityNumber>
        <IsMainPartyType>true</IsMainPartyType>
        <CaseDisplayIdentifier>26211-07-23</CaseDisplayIdentifier>
        <CaseTypeID>63</CaseTypeID>
        <CaseTypeName>ערעור משפחה (עמ"ש)</CaseTypeName>
        <CaseName>משעלי נ' חליווה</CaseName>
        <FullAddress>פל ים 2 חיפה בנין אורן קומה 2</FullAddress>
        <EmailAddress>sadikaamos@gmail.com</EmailAddress>
        <MotionID>0</MotionID>
        <CasePleaID>0</CasePleaID>
        <FatherName xml:space="preserve">        </FatherName>
        <LinkedCaseID>0</LinkedCaseID>
        <PartyID>1</PartyID>
        <CasePartyCategoryID>2</CasePartyCategoryID>
        <LegalEntityAddressID>75738494</LegalEntityAddressID>
        <LegalEntityEmailAddressID>43827887</LegalEntityEmailAddressID>
        <PleaTypeID>6</PleaTypeID>
        <LawyerOfficeName>משרד עו"ד: עמוס צדיקה</LawyerOfficeName>
        <LawyerOfficeID>422463</LawyerOfficeID>
        <GroupPartyAlias/>
        <IsConverted>false</IsConverted>
        <LegalEntityNameID>2803</LegalEntityNameID>
        <RepresentatedNamesOfAssistant/>
        <LegalEntityTypeID>4</LegalEntityTypeID>
        <IsVerdictExists>false</IsVerdictExists>
        <IsAsirAzir>false</IsAsirAzir>
        <IsPublicationProhibited>false</IsPublicationProhibited>
        <PublicationProhibitedFullName>עמוס צדיקה</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עמירן משעלי</FullName>
        <FirstName>עמירן</FirstName>
        <LastName>משעלי</LastName>
        <PartyPropertyName/>
        <AuthenticationTypeAndNumber>ת"ז 029577616</AuthenticationTypeAndNumber>
        <RepresentatedOrRepresentativesNames>עמוס צדיקה, ניר שם טוב</RepresentatedOrRepresentativesNames>
        <RepresentatedOrRepresentativesCount>2</RepresentatedOrRepresentativesCount>
        <InvitedBy/>
        <CaseID>80420897</CaseID>
        <CaseJudicialPersonPresentationDS>
          <CaseJudicalPersonActive>
            <CaseID>80420897</CaseID>
            <JudicialPersonID>056479827@GOV.IL</JudicialPersonID>
            <JudicialPersonTypeID>1</JudicialPersonTypeID>
            <JudicialTypeID>3</JudicialTypeID>
            <IsChairman>true</IsChairman>
            <TreatmentStartDate>2023-07-12T09:24:18.327+03:00</TreatmentStartDate>
            <TreatmentFinishDate>9999-12-31T23:59:59.997+02:00</TreatmentFinishDate>
            <IdentificationCardNumber>056479827</IdentificationCardNumber>
            <DisplayName>חננאל שרעבי</DisplayName>
            <JudicialTypeName>הרכב שופטים</JudicialTypeName>
            <CaseJudicialGroupNumber>546633</CaseJudicialGroupNumber>
            <FirstName>חננאל</FirstName>
            <LastName>שרעבי</LastName>
            <JudicialPersonTitle>שופט</JudicialPersonTitle>
          </CaseJudicalPersonActive>
          <CaseJudicalPersonActive>
            <CaseID>80420897</CaseID>
            <JudicialPersonID>057955775@GOV.IL</JudicialPersonID>
            <JudicialPersonTypeID>1</JudicialPersonTypeID>
            <JudicialTypeID>3</JudicialTypeID>
            <IsChairman>false</IsChairman>
            <TreatmentStartDate>2023-07-12T09:24:18.327+03:00</TreatmentStartDate>
            <TreatmentFinishDate>9999-12-31T23:59:59.997+02:00</TreatmentFinishDate>
            <IdentificationCardNumber>057955775</IdentificationCardNumber>
            <DisplayName>אספרנצה אלון</DisplayName>
            <JudicialTypeName>הרכב שופטים</JudicialTypeName>
            <CaseJudicialGroupNumber>546633</CaseJudicialGroupNumber>
            <FirstName>אספרנצה</FirstName>
            <LastName>אלון</LastName>
            <JudicialPersonTitle>שופט</JudicialPersonTitle>
          </CaseJudicalPersonActive>
          <CaseJudicalPersonActive>
            <CaseID>80420897</CaseID>
            <JudicialPersonID>058677980@GOV.IL</JudicialPersonID>
            <JudicialPersonTypeID>1</JudicialPersonTypeID>
            <JudicialTypeID>3</JudicialTypeID>
            <IsChairman>false</IsChairman>
            <TreatmentStartDate>2023-07-12T09:24:18.327+03:00</TreatmentStartDate>
            <TreatmentFinishDate>9999-12-31T23:59:59.997+02:00</TreatmentFinishDate>
            <IdentificationCardNumber>058677980</IdentificationCardNumber>
            <DisplayName>אריה נאמן</DisplayName>
            <JudicialTypeName>הרכב שופטים</JudicialTypeName>
            <CaseJudicialGroupNumber>546633</CaseJudicialGroupNumber>
            <FirstName>אריה</FirstName>
            <LastName>נאמן</LastName>
            <JudicialPersonTitle>שופט</JudicialPersonTitle>
          </CaseJudicalPersonActive>
        </CaseJudicialPersonPresentationDS>
        <CasePartyID>258241706</CasePartyID>
        <PartyTypeID>1</PartyTypeID>
        <ActivityStatusID>1</ActivityStatusID>
        <PartyAliasID>5</PartyAliasID>
        <PartyAliasName>מערער</PartyAliasName>
        <OrdinalNumber>1</OrdinalNumber>
        <LegalEntityID>71555292</LegalEntityID>
        <CaseLegalEntityID>125133519</CaseLegalEntityID>
        <AuthenticationTypeID>1</AuthenticationTypeID>
        <AuthenticationTypeName>ת"ז</AuthenticationTypeName>
        <LegalEntityNumber>029577616</LegalEntityNumber>
        <IsMainPartyType>true</IsMainPartyType>
        <CaseDisplayIdentifier>26211-07-23</CaseDisplayIdentifier>
        <CaseTypeID>63</CaseTypeID>
        <CaseTypeName>ערעור משפחה (עמ"ש)</CaseTypeName>
        <CaseName>משעלי נ' חליווה</CaseName>
        <FullAddress>יהודה הלוי 12 קריית אתא </FullAddress>
        <MotionID>0</MotionID>
        <CasePleaID>0</CasePleaID>
        <FatherName>אברהם</FatherName>
        <LinkedCaseID>0</LinkedCaseID>
        <PartyID>1</PartyID>
        <CasePartyCategoryID>2</CasePartyCategoryID>
        <LegalEntityAddressID>88157867</LegalEntityAddressID>
        <GrandfatherName/>
        <DrivingLicenseNumber>6149106</DrivingLicenseNumber>
        <PleaTypeID>6</PleaTypeID>
        <GroupPartyAlias>מערערים</GroupPartyAlias>
        <IsConverted>false</IsConverted>
        <LegalEntityRegisteredNameID>10414062</LegalEntityRegisteredNameID>
        <LegalEntityNameID>88414239</LegalEntityNameID>
        <RepresentatedNamesOfAssistant/>
        <LegalEntityTypeID>1</LegalEntityTypeID>
        <IsVerdictExists>false</IsVerdictExists>
        <IsAsirAzir>false</IsAsirAzir>
        <IsPublicationProhibited>false</IsPublicationProhibited>
        <PublicationProhibitedFullName>עמירן משעלי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אורית חליווה</FullName>
        <FirstName>אורית אילה</FirstName>
        <LastName>חליווה</LastName>
        <PartyPropertyName/>
        <AuthenticationTypeAndNumber>ת"ז 036058659</AuthenticationTypeAndNumber>
        <RepresentatedOrRepresentativesNames>הדס פרידמן כהן</RepresentatedOrRepresentativesNames>
        <RepresentatedOrRepresentativesCount>1</RepresentatedOrRepresentativesCount>
        <InvitedBy/>
        <CaseID>80420897</CaseID>
        <CaseJudicialPersonPresentationDS>
          <CaseJudicalPersonActive>
            <CaseID>80420897</CaseID>
            <JudicialPersonID>056479827@GOV.IL</JudicialPersonID>
            <JudicialPersonTypeID>1</JudicialPersonTypeID>
            <JudicialTypeID>3</JudicialTypeID>
            <IsChairman>true</IsChairman>
            <TreatmentStartDate>2023-07-12T09:24:18.327+03:00</TreatmentStartDate>
            <TreatmentFinishDate>9999-12-31T23:59:59.997+02:00</TreatmentFinishDate>
            <IdentificationCardNumber>056479827</IdentificationCardNumber>
            <DisplayName>חננאל שרעבי</DisplayName>
            <JudicialTypeName>הרכב שופטים</JudicialTypeName>
            <CaseJudicialGroupNumber>546633</CaseJudicialGroupNumber>
            <FirstName>חננאל</FirstName>
            <LastName>שרעבי</LastName>
            <JudicialPersonTitle>שופט</JudicialPersonTitle>
          </CaseJudicalPersonActive>
          <CaseJudicalPersonActive>
            <CaseID>80420897</CaseID>
            <JudicialPersonID>057955775@GOV.IL</JudicialPersonID>
            <JudicialPersonTypeID>1</JudicialPersonTypeID>
            <JudicialTypeID>3</JudicialTypeID>
            <IsChairman>false</IsChairman>
            <TreatmentStartDate>2023-07-12T09:24:18.327+03:00</TreatmentStartDate>
            <TreatmentFinishDate>9999-12-31T23:59:59.997+02:00</TreatmentFinishDate>
            <IdentificationCardNumber>057955775</IdentificationCardNumber>
            <DisplayName>אספרנצה אלון</DisplayName>
            <JudicialTypeName>הרכב שופטים</JudicialTypeName>
            <CaseJudicialGroupNumber>546633</CaseJudicialGroupNumber>
            <FirstName>אספרנצה</FirstName>
            <LastName>אלון</LastName>
            <JudicialPersonTitle>שופט</JudicialPersonTitle>
          </CaseJudicalPersonActive>
          <CaseJudicalPersonActive>
            <CaseID>80420897</CaseID>
            <JudicialPersonID>058677980@GOV.IL</JudicialPersonID>
            <JudicialPersonTypeID>1</JudicialPersonTypeID>
            <JudicialTypeID>3</JudicialTypeID>
            <IsChairman>false</IsChairman>
            <TreatmentStartDate>2023-07-12T09:24:18.327+03:00</TreatmentStartDate>
            <TreatmentFinishDate>9999-12-31T23:59:59.997+02:00</TreatmentFinishDate>
            <IdentificationCardNumber>058677980</IdentificationCardNumber>
            <DisplayName>אריה נאמן</DisplayName>
            <JudicialTypeName>הרכב שופטים</JudicialTypeName>
            <CaseJudicialGroupNumber>546633</CaseJudicialGroupNumber>
            <FirstName>אריה</FirstName>
            <LastName>נאמן</LastName>
            <JudicialPersonTitle>שופט</JudicialPersonTitle>
          </CaseJudicalPersonActive>
        </CaseJudicialPersonPresentationDS>
        <CasePartyID>258241707</CasePartyID>
        <PartyTypeID>1</PartyTypeID>
        <ActivityStatusID>1</ActivityStatusID>
        <PartyAliasID>4</PartyAliasID>
        <PartyAliasName>משיב</PartyAliasName>
        <OrdinalNumber>1</OrdinalNumber>
        <LegalEntityID>12679547</LegalEntityID>
        <CaseLegalEntityID>125133520</CaseLegalEntityID>
        <AuthenticationTypeID>1</AuthenticationTypeID>
        <AuthenticationTypeName>ת"ז</AuthenticationTypeName>
        <LegalEntityNumber>036058659</LegalEntityNumber>
        <IsMainPartyType>true</IsMainPartyType>
        <CaseDisplayIdentifier>26211-07-23</CaseDisplayIdentifier>
        <CaseTypeID>63</CaseTypeID>
        <CaseTypeName>ערעור משפחה (עמ"ש)</CaseTypeName>
        <CaseName>משעלי נ' חליווה</CaseName>
        <FullAddress>דרך הים 191 חיפה </FullAddress>
        <MotionID>0</MotionID>
        <CasePleaID>0</CasePleaID>
        <FatherName>שמעון</FatherName>
        <LinkedCaseID>0</LinkedCaseID>
        <PartyID>2</PartyID>
        <CasePartyCategoryID>2</CasePartyCategoryID>
        <LegalEntityAddressID>88157873</LegalEntityAddressID>
        <PleaTypeID>6</PleaTypeID>
        <GroupPartyAlias>משיבים</GroupPartyAlias>
        <IsConverted>false</IsConverted>
        <LegalEntityRegisteredNameID>4828565</LegalEntityRegisteredNameID>
        <LegalEntityNameID>88414240</LegalEntityNameID>
        <RepresentatedNamesOfAssistant/>
        <LegalEntityTypeID>1</LegalEntityTypeID>
        <IsVerdictExists>false</IsVerdictExists>
        <IsAsirAzir>false</IsAsirAzir>
        <IsPublicationProhibited>false</IsPublicationProhibited>
        <PublicationProhibitedFullName>אורית חליווה</PublicationProhibitedFullName>
      </CaseParties>
    </CasePartiesSelectionDS>
    <CaseName>משעלי נ' חליווה</CaseName>
    <CaseDisplayIdentifier>26211-07-23</CaseDisplayIdentifier>
    <CaseInterestID>67</CaseInterestID>
    <CaseTypeShortName>עמ"ש</CaseTypeShortName>
  </dt_DecisionCase>
  <dt_DecisionJudgePanel>
    <JudgeID>056479827@GOV.IL</JudgeID>
    <DisplayName>שרעבי</DisplayName>
    <RoleName>שופט</RoleName>
    <UserTitleName>שופט</UserTitleName>
  </dt_DecisionJudgePanel>
  <dt_DecisionJudgePanel>
    <JudgeID>057955775@GOV.IL</JudgeID>
    <DisplayName>אלון</DisplayName>
    <RoleName>שופט</RoleName>
    <UserTitleName>שופטת</UserTitleName>
  </dt_DecisionJudgePanel>
  <dt_DecisionJudgePanel>
    <JudgeID>058677980@GOV.IL</JudgeID>
    <DisplayName>נאמן</DisplayName>
    <RoleName>שופט</RoleName>
    <UserTitleName>שופט</UserTitleName>
  </dt_DecisionJudgePanel>
  <dt_LegalEntityDetails>
    <Fax>04-6104421</Fax>
    <Phone>04-6104420</Phone>
    <PartyID>2</PartyID>
    <PartyTypeID>2</PartyTypeID>
    <DecisionID>0</DecisionID>
    <StreetName>שיבת ציון 38</StreetName>
    <ZipCode>3328419</ZipCode>
    <CityName>חיפה</CityName>
    <FullName>הדס פרידמן כהן</FullName>
    <Email>Hadas@hfclaw.co.il</Email>
    <IsPublicationProhibited>false</IsPublicationProhibited>
  </dt_LegalEntityDetails>
  <dt_LegalEntityDetails>
    <Fax>077-4020409</Fax>
    <Phone>077-4020406</Phone>
    <AddressDesc/>
    <PartyID>1</PartyID>
    <PartyTypeID>2</PartyTypeID>
    <DecisionID>0</DecisionID>
    <StreetName>העצמאות 59</StreetName>
    <ZipCode>2850209</ZipCode>
    <CityName>קריית אתא</CityName>
    <FullName>ניר שם טוב</FullName>
    <Email>nst1@walla.com</Email>
    <IsPublicationProhibited>false</IsPublicationProhibited>
  </dt_LegalEntityDetails>
  <dt_LegalEntityDetails>
    <PartyID>1</PartyID>
    <PartyTypeID>1</PartyTypeID>
    <DecisionID>0</DecisionID>
    <StreetName>יהודה הלוי 12 </StreetName>
    <CityName>קריית אתא</CityName>
    <FullName>עמירן  משעלי </FullName>
    <IsPublicationProhibited>false</IsPublicationProhibited>
  </dt_LegalEntityDetails>
  <dt_LegalEntityDetails>
    <PartyID>2</PartyID>
    <PartyTypeID>1</PartyTypeID>
    <DecisionID>0</DecisionID>
    <StreetName>דרך הים 191 </StreetName>
    <CityName>חיפה</CityName>
    <FullName>אורית  חליווה </FullName>
    <IsPublicationProhibited>false</IsPublicationProhibited>
  </dt_LegalEntityDetails>
  <dt_LegalEntityDetails>
    <Fax>04-8628556</Fax>
    <Phone>04-8670680</Phone>
    <AddressDesc>בנין אורן קומה 2</AddressDesc>
    <PartyID>1</PartyID>
    <PartyTypeID>2</PartyTypeID>
    <DecisionID>0</DecisionID>
    <StreetName>פל ים 2</StreetName>
    <ZipCode>33095</ZipCode>
    <CityName>חיפה</CityName>
    <FullName>עמוס צדיקה</FullName>
    <Email>sadikaamos@gmail.com</Email>
    <IsPublicationProhibited>false</IsPublicationProhibited>
  </dt_LegalEntityDetails>
  <dt_CaseJudicalPersonActive>
    <CaseJudicalPerson>שופט חננאל שרעבי, שופטת אספרנצה אלון, שופט אריה נאמן</CaseJudicalPerson>
  </dt_CaseJudicalPersonActive>
  <dt_Sitting>
    <PreviousMeetingDate>2023-12-18T11:00:00+02:00</PreviousMeetingDate>
    <PreviousSittingTypeID>5</PreviousSittingTypeID>
    <PreviousMeetingDisplayName>חננאל שרעבי, אספרנצה אלון, אריה נאמן</PreviousMeetingDisplayName>
    <PreviousMeetingUserUPN>056479827@GOV.IL, 057955775@GOV.IL, 058677980@GOV.IL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9F0D1-180B-4A15-B875-5B207A4CD1E4}">
  <ds:schemaRefs/>
</ds:datastoreItem>
</file>

<file path=customXml/itemProps2.xml><?xml version="1.0" encoding="utf-8"?>
<ds:datastoreItem xmlns:ds="http://schemas.openxmlformats.org/officeDocument/2006/customXml" ds:itemID="{7304421C-9E88-41A2-9B0A-96695EEDC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3146</Words>
  <Characters>15731</Characters>
  <Application>Microsoft Office Word</Application>
  <DocSecurity>0</DocSecurity>
  <Lines>131</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2023-12-31T06:44:00Z</dcterms:created>
  <dcterms:modified xsi:type="dcterms:W3CDTF">2023-12-31T06:44:00Z</dcterms:modified>
</cp:coreProperties>
</file>